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E" w:rsidRPr="00AE1133" w:rsidRDefault="00B6572E" w:rsidP="00B6572E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-34"/>
          <w:kern w:val="10"/>
          <w:szCs w:val="21"/>
        </w:rPr>
      </w:pPr>
    </w:p>
    <w:p w:rsidR="00B6572E" w:rsidRPr="00F9506C" w:rsidRDefault="00B6572E" w:rsidP="00B6572E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136"/>
          <w:kern w:val="0"/>
          <w:position w:val="34"/>
          <w:sz w:val="100"/>
          <w:szCs w:val="100"/>
        </w:rPr>
      </w:pPr>
      <w:r w:rsidRPr="00F9506C">
        <w:rPr>
          <w:rFonts w:ascii="华文中宋" w:eastAsia="华文中宋" w:hAnsi="华文中宋" w:hint="eastAsia"/>
          <w:b/>
          <w:color w:val="FF0000"/>
          <w:spacing w:val="136"/>
          <w:kern w:val="0"/>
          <w:position w:val="34"/>
          <w:sz w:val="100"/>
          <w:szCs w:val="100"/>
        </w:rPr>
        <w:t>长春开放大学</w:t>
      </w:r>
    </w:p>
    <w:p w:rsidR="00B6572E" w:rsidRDefault="00B6572E" w:rsidP="00B6572E">
      <w:pPr>
        <w:rPr>
          <w:rFonts w:ascii="仿宋_GB2312" w:eastAsia="仿宋_GB2312"/>
          <w:color w:val="000000"/>
          <w:sz w:val="18"/>
          <w:szCs w:val="18"/>
        </w:rPr>
      </w:pPr>
    </w:p>
    <w:p w:rsidR="00B6572E" w:rsidRDefault="00B6572E" w:rsidP="00B6572E">
      <w:pPr>
        <w:rPr>
          <w:rFonts w:ascii="仿宋_GB2312" w:eastAsia="仿宋_GB2312"/>
          <w:color w:val="000000"/>
          <w:sz w:val="18"/>
          <w:szCs w:val="18"/>
        </w:rPr>
      </w:pPr>
    </w:p>
    <w:p w:rsidR="00B6572E" w:rsidRDefault="00B6572E" w:rsidP="00B6572E">
      <w:pPr>
        <w:ind w:firstLineChars="400" w:firstLine="720"/>
        <w:rPr>
          <w:rFonts w:ascii="仿宋_GB2312" w:eastAsia="仿宋_GB2312"/>
          <w:color w:val="000000"/>
          <w:sz w:val="18"/>
          <w:szCs w:val="18"/>
        </w:rPr>
      </w:pPr>
    </w:p>
    <w:p w:rsidR="00B6572E" w:rsidRPr="005A3D57" w:rsidRDefault="00B6572E" w:rsidP="00B6572E">
      <w:pPr>
        <w:rPr>
          <w:rFonts w:ascii="仿宋_GB2312" w:eastAsia="仿宋_GB2312"/>
          <w:color w:val="000000"/>
          <w:szCs w:val="21"/>
        </w:rPr>
      </w:pPr>
    </w:p>
    <w:p w:rsidR="00B6572E" w:rsidRPr="00E91F79" w:rsidRDefault="00B6572E" w:rsidP="00B6572E">
      <w:pPr>
        <w:ind w:firstLineChars="50" w:firstLine="160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长开大教发</w:t>
      </w:r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22〕7号</w:t>
      </w:r>
    </w:p>
    <w:p w:rsidR="00B6572E" w:rsidRPr="006A25CB" w:rsidRDefault="00B6572E" w:rsidP="00B6572E">
      <w:pPr>
        <w:rPr>
          <w:rFonts w:ascii="仿宋_GB2312" w:eastAsia="仿宋_GB2312"/>
          <w:color w:val="00000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FCCFA" wp14:editId="430763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" strokecolor="red" strokeweight="1pt">
                <o:lock v:ext="edit" aspectratio="t"/>
              </v:line>
            </w:pict>
          </mc:Fallback>
        </mc:AlternateContent>
      </w:r>
    </w:p>
    <w:p w:rsidR="00924EC3" w:rsidRPr="00F6469E" w:rsidRDefault="00D11B91">
      <w:pPr>
        <w:widowControl/>
        <w:jc w:val="center"/>
        <w:rPr>
          <w:rStyle w:val="fontstyle01"/>
          <w:rFonts w:ascii="方正小标宋简体" w:eastAsia="方正小标宋简体" w:hint="eastAsia"/>
          <w:bCs/>
          <w:sz w:val="44"/>
          <w:szCs w:val="44"/>
          <w:lang w:bidi="ar"/>
        </w:rPr>
      </w:pPr>
      <w:r w:rsidRPr="00F6469E">
        <w:rPr>
          <w:rStyle w:val="fontstyle01"/>
          <w:rFonts w:ascii="方正小标宋简体" w:eastAsia="方正小标宋简体" w:hint="eastAsia"/>
          <w:bCs/>
          <w:sz w:val="44"/>
          <w:szCs w:val="44"/>
          <w:lang w:bidi="ar"/>
        </w:rPr>
        <w:t>关于公布长春开放大学首届课程</w:t>
      </w:r>
      <w:proofErr w:type="gramStart"/>
      <w:r w:rsidRPr="00F6469E">
        <w:rPr>
          <w:rStyle w:val="fontstyle01"/>
          <w:rFonts w:ascii="方正小标宋简体" w:eastAsia="方正小标宋简体" w:hint="eastAsia"/>
          <w:bCs/>
          <w:sz w:val="44"/>
          <w:szCs w:val="44"/>
          <w:lang w:bidi="ar"/>
        </w:rPr>
        <w:t>思政微课</w:t>
      </w:r>
      <w:proofErr w:type="gramEnd"/>
      <w:r w:rsidRPr="00F6469E">
        <w:rPr>
          <w:rStyle w:val="fontstyle01"/>
          <w:rFonts w:ascii="方正小标宋简体" w:eastAsia="方正小标宋简体" w:hint="eastAsia"/>
          <w:bCs/>
          <w:sz w:val="44"/>
          <w:szCs w:val="44"/>
          <w:lang w:bidi="ar"/>
        </w:rPr>
        <w:t>比赛评选结果的通知</w:t>
      </w:r>
    </w:p>
    <w:p w:rsidR="00924EC3" w:rsidRDefault="00924EC3">
      <w:pPr>
        <w:widowControl/>
        <w:rPr>
          <w:rStyle w:val="fontstyle11"/>
          <w:rFonts w:ascii="仿宋" w:eastAsia="仿宋" w:hAnsi="仿宋" w:cs="仿宋"/>
          <w:sz w:val="32"/>
          <w:szCs w:val="32"/>
          <w:lang w:bidi="ar"/>
        </w:rPr>
      </w:pPr>
      <w:bookmarkStart w:id="0" w:name="_GoBack"/>
      <w:bookmarkEnd w:id="0"/>
    </w:p>
    <w:p w:rsidR="00924EC3" w:rsidRDefault="00D11B91">
      <w:pPr>
        <w:widowControl/>
        <w:rPr>
          <w:rStyle w:val="fontstyle11"/>
          <w:rFonts w:ascii="仿宋" w:eastAsia="仿宋" w:hAnsi="仿宋" w:cs="仿宋"/>
          <w:sz w:val="32"/>
          <w:szCs w:val="32"/>
          <w:lang w:bidi="ar"/>
        </w:rPr>
      </w:pP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各教学系、分校、学习中心：</w:t>
      </w:r>
    </w:p>
    <w:p w:rsidR="00924EC3" w:rsidRDefault="00D11B91">
      <w:pPr>
        <w:widowControl/>
        <w:ind w:firstLineChars="200" w:firstLine="640"/>
        <w:rPr>
          <w:rStyle w:val="fontstyle11"/>
          <w:rFonts w:ascii="仿宋" w:eastAsia="仿宋" w:hAnsi="仿宋" w:cs="仿宋"/>
          <w:sz w:val="32"/>
          <w:szCs w:val="32"/>
          <w:lang w:bidi="ar"/>
        </w:rPr>
      </w:pP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为深入贯彻落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实习近</w:t>
      </w:r>
      <w:proofErr w:type="gramEnd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平总书记关于教育的重要论述和全国教育大会精神，贯彻落实中共中央办公厅、国务院办公厅《关于加强和改进新形势下高校思想政治工作的意见》，深入实施《高等学校课程思政建设指导纲要》，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长春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开放大学举办了首届课程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思政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微课</w:t>
      </w:r>
      <w:proofErr w:type="gramEnd"/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比赛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评选活动。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各分校、学习中心、教学系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精心组织、积极参与，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经过初赛，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共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有57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个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作品进入最终决赛。通过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专家评审，评选出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长春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开放大学首届课程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思政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微课</w:t>
      </w:r>
      <w:proofErr w:type="gramEnd"/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比赛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获奖作品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一等奖5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个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、二等奖11个、三等奖15个、优秀奖26个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（见附件）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924EC3" w:rsidRDefault="00D11B91">
      <w:pPr>
        <w:widowControl/>
        <w:ind w:firstLineChars="200" w:firstLine="640"/>
        <w:rPr>
          <w:rStyle w:val="fontstyle11"/>
          <w:rFonts w:ascii="仿宋" w:eastAsia="仿宋" w:hAnsi="仿宋" w:cs="仿宋"/>
          <w:sz w:val="32"/>
          <w:szCs w:val="32"/>
          <w:lang w:bidi="ar"/>
        </w:rPr>
      </w:pP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lastRenderedPageBreak/>
        <w:t>本届活动展示了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长春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开放大学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各分校、学习中心、教学系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在课程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思政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微课</w:t>
      </w:r>
      <w:proofErr w:type="gramEnd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设计方面的成果，达到了预期效果。希望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各分校、学习中心、教学</w:t>
      </w:r>
      <w:proofErr w:type="gramStart"/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系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继续</w:t>
      </w:r>
      <w:proofErr w:type="gramEnd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加大课程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思政教学</w:t>
      </w:r>
      <w:proofErr w:type="gramEnd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力度，促进学生思想素质、职业道德与业务技能相融合，不断提高教学水平和人才培养质量。</w:t>
      </w:r>
    </w:p>
    <w:p w:rsidR="00924EC3" w:rsidRDefault="00924EC3">
      <w:pPr>
        <w:widowControl/>
        <w:rPr>
          <w:rStyle w:val="fontstyle11"/>
          <w:rFonts w:ascii="仿宋" w:eastAsia="仿宋" w:hAnsi="仿宋" w:cs="仿宋"/>
          <w:sz w:val="32"/>
          <w:szCs w:val="32"/>
          <w:lang w:bidi="ar"/>
        </w:rPr>
      </w:pPr>
    </w:p>
    <w:p w:rsidR="00924EC3" w:rsidRDefault="00D11B91">
      <w:pPr>
        <w:widowControl/>
        <w:rPr>
          <w:rStyle w:val="fontstyle11"/>
          <w:rFonts w:ascii="仿宋" w:eastAsia="仿宋" w:hAnsi="仿宋" w:cs="仿宋"/>
          <w:sz w:val="32"/>
          <w:szCs w:val="32"/>
          <w:lang w:bidi="ar"/>
        </w:rPr>
      </w:pP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附件：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长春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开放大学首届课程</w:t>
      </w:r>
      <w:proofErr w:type="gramStart"/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思政</w:t>
      </w:r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微课</w:t>
      </w:r>
      <w:proofErr w:type="gramEnd"/>
      <w:r>
        <w:rPr>
          <w:rStyle w:val="fontstyle11"/>
          <w:rFonts w:ascii="仿宋" w:eastAsia="仿宋" w:hAnsi="仿宋" w:cs="仿宋" w:hint="eastAsia"/>
          <w:sz w:val="32"/>
          <w:szCs w:val="32"/>
          <w:lang w:bidi="ar"/>
        </w:rPr>
        <w:t>比赛</w:t>
      </w:r>
      <w:r>
        <w:rPr>
          <w:rStyle w:val="fontstyle11"/>
          <w:rFonts w:ascii="仿宋" w:eastAsia="仿宋" w:hAnsi="仿宋" w:cs="仿宋"/>
          <w:sz w:val="32"/>
          <w:szCs w:val="32"/>
          <w:lang w:bidi="ar"/>
        </w:rPr>
        <w:t>评选获奖名单</w:t>
      </w:r>
    </w:p>
    <w:p w:rsidR="00924EC3" w:rsidRDefault="00924EC3">
      <w:pPr>
        <w:widowControl/>
        <w:rPr>
          <w:rStyle w:val="fontstyle11"/>
          <w:rFonts w:ascii="仿宋" w:eastAsia="仿宋" w:hAnsi="仿宋" w:cs="仿宋"/>
          <w:sz w:val="32"/>
          <w:szCs w:val="32"/>
          <w:lang w:bidi="ar"/>
        </w:rPr>
      </w:pPr>
    </w:p>
    <w:p w:rsidR="00924EC3" w:rsidRDefault="00D11B91">
      <w:pPr>
        <w:widowControl/>
        <w:ind w:firstLineChars="1600" w:firstLine="5120"/>
        <w:rPr>
          <w:rStyle w:val="fontstyle41"/>
          <w:rFonts w:ascii="仿宋" w:eastAsia="仿宋" w:hAnsi="仿宋" w:cs="仿宋"/>
          <w:lang w:bidi="ar"/>
        </w:rPr>
      </w:pPr>
      <w:r>
        <w:rPr>
          <w:rStyle w:val="fontstyle41"/>
          <w:rFonts w:ascii="仿宋" w:eastAsia="仿宋" w:hAnsi="仿宋" w:cs="仿宋" w:hint="eastAsia"/>
          <w:lang w:bidi="ar"/>
        </w:rPr>
        <w:t>长春开放大学</w:t>
      </w:r>
    </w:p>
    <w:p w:rsidR="00924EC3" w:rsidRDefault="00D11B91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  <w:r>
        <w:rPr>
          <w:rStyle w:val="fontstyle41"/>
          <w:rFonts w:ascii="仿宋" w:eastAsia="仿宋" w:hAnsi="仿宋" w:cs="仿宋" w:hint="eastAsia"/>
          <w:lang w:bidi="ar"/>
        </w:rPr>
        <w:t>2022年8月18日</w:t>
      </w: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B6572E" w:rsidRDefault="00B6572E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B6572E" w:rsidRDefault="00B6572E">
      <w:pPr>
        <w:widowControl/>
        <w:ind w:firstLineChars="1500" w:firstLine="4800"/>
        <w:rPr>
          <w:rStyle w:val="fontstyle41"/>
          <w:rFonts w:ascii="仿宋" w:eastAsia="仿宋" w:hAnsi="仿宋" w:cs="仿宋"/>
          <w:lang w:bidi="ar"/>
        </w:rPr>
      </w:pPr>
    </w:p>
    <w:p w:rsidR="00924EC3" w:rsidRDefault="00D11B91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附件</w:t>
      </w:r>
    </w:p>
    <w:p w:rsidR="00924EC3" w:rsidRDefault="00D11B91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长春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开放大学首届课程</w:t>
      </w:r>
      <w:proofErr w:type="gramStart"/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思政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微课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比赛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评选获奖名单</w:t>
      </w:r>
    </w:p>
    <w:tbl>
      <w:tblPr>
        <w:tblpPr w:leftFromText="180" w:rightFromText="180" w:vertAnchor="text" w:horzAnchor="page" w:tblpXSpec="center" w:tblpY="508"/>
        <w:tblOverlap w:val="never"/>
        <w:tblW w:w="9237" w:type="dxa"/>
        <w:jc w:val="center"/>
        <w:tblLook w:val="04A0" w:firstRow="1" w:lastRow="0" w:firstColumn="1" w:lastColumn="0" w:noHBand="0" w:noVBand="1"/>
      </w:tblPr>
      <w:tblGrid>
        <w:gridCol w:w="945"/>
        <w:gridCol w:w="747"/>
        <w:gridCol w:w="1050"/>
        <w:gridCol w:w="1035"/>
        <w:gridCol w:w="3273"/>
        <w:gridCol w:w="2187"/>
      </w:tblGrid>
      <w:tr w:rsidR="00924EC3">
        <w:trPr>
          <w:trHeight w:val="14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崔颖贺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从数据库应用看信息思维能力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数据库基础与应用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杨前程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机电一体化系统设计的基本要素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机电一体化系统设计基础</w:t>
            </w:r>
          </w:p>
        </w:tc>
      </w:tr>
      <w:tr w:rsidR="00924EC3" w:rsidTr="002B0793">
        <w:trPr>
          <w:trHeight w:val="602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吴晓辉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走近先秦诸子百家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中国传统文化导论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王振宇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书法鉴赏——宋四家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书法鉴赏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杨在英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走进德育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二等奖</w:t>
            </w: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924EC3" w:rsidRDefault="00924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胡姗姗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01"/>
                <w:rFonts w:eastAsia="宋体"/>
                <w:lang w:bidi="ar"/>
              </w:rPr>
              <w:t>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动态广告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01"/>
                <w:rFonts w:eastAsia="宋体"/>
                <w:lang w:bidi="ar"/>
              </w:rPr>
              <w:t>Photoshop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图像处理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金靓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从李白看唐诗中的酒文化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中国古代文学</w:t>
            </w:r>
            <w:r>
              <w:rPr>
                <w:rStyle w:val="font01"/>
                <w:rFonts w:eastAsia="宋体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幼儿园中国传统节日教育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幼儿园社会教育专题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朱桂萍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差异化策略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小企业管理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王斯莹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应用理论基础分析领导行为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管理心理学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邢晓红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电子病历提示功能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医学信息学概论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调动自身的感受去阅读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中国古代文学作品选读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《合同法》</w:t>
            </w:r>
            <w:r>
              <w:rPr>
                <w:rStyle w:val="font01"/>
                <w:rFonts w:eastAsia="宋体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赠与合同的撤销权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合同法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刘春艳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普通话和方言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现代汉语专题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管仲的法律思想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中国法律史</w:t>
            </w:r>
          </w:p>
        </w:tc>
      </w:tr>
      <w:tr w:rsidR="00924EC3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924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张馨月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香港电影中的长镜头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3" w:rsidRDefault="00D11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经典电影赏析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鹏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几何不变体系与几何可变体系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土木工程力学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古诗《春望》解析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中国传统文化概观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宁显玲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文书工作的任务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文书档案管理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刘立华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Five Tips for Making Your House Greener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理工英语（</w:t>
            </w:r>
            <w:r>
              <w:rPr>
                <w:rStyle w:val="font01"/>
                <w:rFonts w:eastAsia="宋体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固定资产加速折旧优惠政策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中级财务会计（一）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王韵迪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小班亲子游戏创编指导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唐丽霞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A Speech About My Hometown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人文英语（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王永新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创意人物绘画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学前儿童艺术教育</w:t>
            </w:r>
            <w:r>
              <w:rPr>
                <w:rStyle w:val="font01"/>
                <w:rFonts w:eastAsia="宋体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美术</w:t>
            </w:r>
            <w:r>
              <w:rPr>
                <w:rStyle w:val="font01"/>
                <w:rFonts w:eastAsia="宋体"/>
                <w:lang w:bidi="ar"/>
              </w:rPr>
              <w:t>)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邱丽娟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公司股票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公司概论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谷钰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三视图的教学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机械制图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王廷廷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传承与创新——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呦呦与青蒿素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王婧怡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铭宇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跟着中国共产党学管理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管理学原理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谭金涛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从小鹏汽车的发展看绿色营销的魅力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市场营销学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吴艳华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外部效应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政府经济学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邹石柳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中国古典园林的美学文化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环境艺术与社区美化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优秀奖</w:t>
            </w: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优秀奖</w:t>
            </w: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优秀奖</w:t>
            </w:r>
          </w:p>
          <w:p w:rsidR="00374C0B" w:rsidRDefault="00374C0B" w:rsidP="00374C0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韩秀娟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练习与工匠精神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儿童心理学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庞海燕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疫情期间的心理健康防护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马丽娅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后疫情时代如何做职业生涯规划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职业与人生</w:t>
            </w:r>
          </w:p>
        </w:tc>
      </w:tr>
      <w:tr w:rsidR="00374C0B">
        <w:trPr>
          <w:trHeight w:val="51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丛嘉旭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百年后的传承——五四运动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中国传统文化概观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陈思彤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科学小制作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学前儿童科学教育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李云娜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杜甫诗歌中的爱国情怀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古代诗歌散文专题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文法系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中国现代文学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公共部门人力资源绩效管理篇</w:t>
            </w:r>
            <w:r>
              <w:rPr>
                <w:rStyle w:val="font01"/>
                <w:rFonts w:eastAsia="宋体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主人翁精神与工匠精神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公共部门人力资源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中西方公务员制度对比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公共管理学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董毓伟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中国古代，那些朴素的公关与品牌形象塑造活动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品牌管理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屈珍国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“一国两制”思想与特别行政区制度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当代中国政治制度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温鑫爽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机器人定义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机器人技术及应用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中药基础知识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中医药学概论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关于适应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社会心理适应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云天奇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抗生素滥用与超级细菌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药理学（药）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孟艳涛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理工系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二叉树的遍历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数据结构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李红玉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东北科技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致敬大白海报制作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计算机平面设计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焦卉馨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东北科技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网络安全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计算机应用基础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马丽秋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东北科技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学前儿童语言教育的方法与途径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学前儿童语言教育活动指导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窦婉琪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战“疫”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思政微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课堂</w:t>
            </w:r>
            <w:r>
              <w:rPr>
                <w:rStyle w:val="font01"/>
                <w:rFonts w:eastAsia="宋体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尊重与包容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战“疫”中的尊重与包容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王晨霖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交通灯案例分享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灯时间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史岩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幼儿对旋律中律动的感知与表达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学前儿童音乐教育活动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因为有你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幼儿文学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我想看看你的模样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学前儿童艺术教育</w:t>
            </w:r>
            <w:r>
              <w:rPr>
                <w:rStyle w:val="font01"/>
                <w:rFonts w:eastAsia="宋体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音乐</w:t>
            </w:r>
            <w:r>
              <w:rPr>
                <w:rStyle w:val="font01"/>
                <w:rFonts w:eastAsia="宋体"/>
                <w:lang w:bidi="ar"/>
              </w:rPr>
              <w:t>)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春暖花开爱在身边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艺术欣赏</w:t>
            </w:r>
          </w:p>
        </w:tc>
      </w:tr>
      <w:tr w:rsidR="00374C0B">
        <w:trPr>
          <w:trHeight w:val="48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0B" w:rsidRDefault="00374C0B" w:rsidP="00374C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陈娟娟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放参议员视频监控系统建设要求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0B" w:rsidRDefault="00374C0B" w:rsidP="0037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计算机应用</w:t>
            </w:r>
          </w:p>
        </w:tc>
      </w:tr>
    </w:tbl>
    <w:p w:rsidR="00924EC3" w:rsidRDefault="00D11B91">
      <w:r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注：排名不分先后</w:t>
      </w:r>
    </w:p>
    <w:p w:rsidR="00924EC3" w:rsidRDefault="00924EC3">
      <w:pPr>
        <w:widowControl/>
        <w:rPr>
          <w:rStyle w:val="fontstyle41"/>
          <w:rFonts w:ascii="仿宋" w:eastAsia="仿宋" w:hAnsi="仿宋" w:cs="仿宋"/>
          <w:lang w:bidi="ar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ind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ind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ind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ind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924EC3" w:rsidRDefault="00924EC3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sectPr w:rsidR="00924E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4EC3" w:rsidRDefault="00924EC3"/>
    <w:sectPr w:rsidR="00924E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7" w:rsidRDefault="00BD62C7" w:rsidP="00B6572E">
      <w:r>
        <w:separator/>
      </w:r>
    </w:p>
  </w:endnote>
  <w:endnote w:type="continuationSeparator" w:id="0">
    <w:p w:rsidR="00BD62C7" w:rsidRDefault="00BD62C7" w:rsidP="00B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">
    <w:altName w:val="宋体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7" w:rsidRDefault="00BD62C7" w:rsidP="00B6572E">
      <w:r>
        <w:separator/>
      </w:r>
    </w:p>
  </w:footnote>
  <w:footnote w:type="continuationSeparator" w:id="0">
    <w:p w:rsidR="00BD62C7" w:rsidRDefault="00BD62C7" w:rsidP="00B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AxOTdiZTE4YTJjMTg2NGU0YjMzYWUwZmU3OTEifQ=="/>
  </w:docVars>
  <w:rsids>
    <w:rsidRoot w:val="00547627"/>
    <w:rsid w:val="00017C1A"/>
    <w:rsid w:val="002B0793"/>
    <w:rsid w:val="00374C0B"/>
    <w:rsid w:val="004854ED"/>
    <w:rsid w:val="004C211B"/>
    <w:rsid w:val="00547627"/>
    <w:rsid w:val="005764D8"/>
    <w:rsid w:val="006A0942"/>
    <w:rsid w:val="00924EC3"/>
    <w:rsid w:val="00B13B3E"/>
    <w:rsid w:val="00B51AAD"/>
    <w:rsid w:val="00B6572E"/>
    <w:rsid w:val="00B921F1"/>
    <w:rsid w:val="00BD3BE2"/>
    <w:rsid w:val="00BD62C7"/>
    <w:rsid w:val="00D00AF1"/>
    <w:rsid w:val="00D11B91"/>
    <w:rsid w:val="00D3184B"/>
    <w:rsid w:val="00D9742D"/>
    <w:rsid w:val="00DE0DF7"/>
    <w:rsid w:val="00E149E8"/>
    <w:rsid w:val="00ED2B22"/>
    <w:rsid w:val="00F6469E"/>
    <w:rsid w:val="00FC2F96"/>
    <w:rsid w:val="014F517E"/>
    <w:rsid w:val="019E4711"/>
    <w:rsid w:val="01E40F15"/>
    <w:rsid w:val="01FD32BA"/>
    <w:rsid w:val="02055F7B"/>
    <w:rsid w:val="02131940"/>
    <w:rsid w:val="027D5C41"/>
    <w:rsid w:val="033249FE"/>
    <w:rsid w:val="03B27AFC"/>
    <w:rsid w:val="047A4E0D"/>
    <w:rsid w:val="04E039DF"/>
    <w:rsid w:val="04F45C5C"/>
    <w:rsid w:val="05BD7DDE"/>
    <w:rsid w:val="05C148D2"/>
    <w:rsid w:val="0629071D"/>
    <w:rsid w:val="08A742AE"/>
    <w:rsid w:val="0A7552C2"/>
    <w:rsid w:val="0AF10231"/>
    <w:rsid w:val="0B822831"/>
    <w:rsid w:val="0BFF12C8"/>
    <w:rsid w:val="0CAC2B9A"/>
    <w:rsid w:val="0D097DEF"/>
    <w:rsid w:val="0EB126E9"/>
    <w:rsid w:val="0F2A7904"/>
    <w:rsid w:val="0F8147DF"/>
    <w:rsid w:val="0FA14D06"/>
    <w:rsid w:val="103247D9"/>
    <w:rsid w:val="1058584C"/>
    <w:rsid w:val="10932E5E"/>
    <w:rsid w:val="10F70BC0"/>
    <w:rsid w:val="114A74A0"/>
    <w:rsid w:val="118C1965"/>
    <w:rsid w:val="123933E5"/>
    <w:rsid w:val="12CA5B28"/>
    <w:rsid w:val="131D6A93"/>
    <w:rsid w:val="136E5FA2"/>
    <w:rsid w:val="138F72B0"/>
    <w:rsid w:val="140549ED"/>
    <w:rsid w:val="14F84853"/>
    <w:rsid w:val="15066E3A"/>
    <w:rsid w:val="15A7670A"/>
    <w:rsid w:val="15DA620F"/>
    <w:rsid w:val="15F8745C"/>
    <w:rsid w:val="166B6F18"/>
    <w:rsid w:val="17452469"/>
    <w:rsid w:val="17D918A5"/>
    <w:rsid w:val="18D576B8"/>
    <w:rsid w:val="192F5067"/>
    <w:rsid w:val="195D36B2"/>
    <w:rsid w:val="1960446C"/>
    <w:rsid w:val="19892E6D"/>
    <w:rsid w:val="19F609BB"/>
    <w:rsid w:val="1A040AC1"/>
    <w:rsid w:val="1A355AD1"/>
    <w:rsid w:val="1AC220B1"/>
    <w:rsid w:val="1C0B17CA"/>
    <w:rsid w:val="1C1D7B44"/>
    <w:rsid w:val="1D481632"/>
    <w:rsid w:val="1DBF2D70"/>
    <w:rsid w:val="1E387A49"/>
    <w:rsid w:val="1EAC161C"/>
    <w:rsid w:val="1F7E0180"/>
    <w:rsid w:val="1FC021BD"/>
    <w:rsid w:val="20774571"/>
    <w:rsid w:val="21677C15"/>
    <w:rsid w:val="231625A3"/>
    <w:rsid w:val="23256672"/>
    <w:rsid w:val="233312BF"/>
    <w:rsid w:val="238F7C51"/>
    <w:rsid w:val="23AF50DD"/>
    <w:rsid w:val="24483F22"/>
    <w:rsid w:val="24630F60"/>
    <w:rsid w:val="24861778"/>
    <w:rsid w:val="24A574AB"/>
    <w:rsid w:val="25246011"/>
    <w:rsid w:val="258A4D10"/>
    <w:rsid w:val="25EB6E2C"/>
    <w:rsid w:val="263D4FFC"/>
    <w:rsid w:val="26C85B84"/>
    <w:rsid w:val="2739489E"/>
    <w:rsid w:val="27591340"/>
    <w:rsid w:val="279D0C58"/>
    <w:rsid w:val="27D52B4D"/>
    <w:rsid w:val="2884034C"/>
    <w:rsid w:val="29320B2C"/>
    <w:rsid w:val="29ED19D2"/>
    <w:rsid w:val="2B6B536D"/>
    <w:rsid w:val="2C9328CF"/>
    <w:rsid w:val="2DE61C48"/>
    <w:rsid w:val="2F9A6301"/>
    <w:rsid w:val="2FE55609"/>
    <w:rsid w:val="30024007"/>
    <w:rsid w:val="30A81124"/>
    <w:rsid w:val="30ED3D00"/>
    <w:rsid w:val="30F71D86"/>
    <w:rsid w:val="313D6AE7"/>
    <w:rsid w:val="314849CE"/>
    <w:rsid w:val="31F37B3E"/>
    <w:rsid w:val="32353B55"/>
    <w:rsid w:val="32726F59"/>
    <w:rsid w:val="336E646A"/>
    <w:rsid w:val="33E85AFE"/>
    <w:rsid w:val="347C077C"/>
    <w:rsid w:val="34B220E9"/>
    <w:rsid w:val="34FB5370"/>
    <w:rsid w:val="361B157C"/>
    <w:rsid w:val="362829E1"/>
    <w:rsid w:val="36CB3BFA"/>
    <w:rsid w:val="36D95462"/>
    <w:rsid w:val="36EA5EE9"/>
    <w:rsid w:val="3715359E"/>
    <w:rsid w:val="38F957C2"/>
    <w:rsid w:val="39130759"/>
    <w:rsid w:val="39202766"/>
    <w:rsid w:val="3AC86C98"/>
    <w:rsid w:val="3B1268D9"/>
    <w:rsid w:val="3BB865B6"/>
    <w:rsid w:val="3BD15614"/>
    <w:rsid w:val="3BDC4AD1"/>
    <w:rsid w:val="3C106CC6"/>
    <w:rsid w:val="3C7624CD"/>
    <w:rsid w:val="3D863336"/>
    <w:rsid w:val="3F7E4B5F"/>
    <w:rsid w:val="4039476A"/>
    <w:rsid w:val="403A3A3D"/>
    <w:rsid w:val="405A528B"/>
    <w:rsid w:val="40AC57FA"/>
    <w:rsid w:val="40CF633C"/>
    <w:rsid w:val="41F541B0"/>
    <w:rsid w:val="42C65A5C"/>
    <w:rsid w:val="42E915A0"/>
    <w:rsid w:val="449C5E6A"/>
    <w:rsid w:val="45707B30"/>
    <w:rsid w:val="45A5397A"/>
    <w:rsid w:val="45D37464"/>
    <w:rsid w:val="46180F9B"/>
    <w:rsid w:val="476F383A"/>
    <w:rsid w:val="47E77525"/>
    <w:rsid w:val="48095237"/>
    <w:rsid w:val="491410F1"/>
    <w:rsid w:val="496547E3"/>
    <w:rsid w:val="497E3C98"/>
    <w:rsid w:val="49823900"/>
    <w:rsid w:val="49F022F6"/>
    <w:rsid w:val="4B061CBC"/>
    <w:rsid w:val="4B440C18"/>
    <w:rsid w:val="4B8B15F1"/>
    <w:rsid w:val="4CDA2DD1"/>
    <w:rsid w:val="4D1A0E7E"/>
    <w:rsid w:val="4D8B41AA"/>
    <w:rsid w:val="4E7B76FB"/>
    <w:rsid w:val="4EA408F5"/>
    <w:rsid w:val="4EB74EF4"/>
    <w:rsid w:val="4F3E2827"/>
    <w:rsid w:val="4FFE3C80"/>
    <w:rsid w:val="50895C2D"/>
    <w:rsid w:val="510627F5"/>
    <w:rsid w:val="51C605D7"/>
    <w:rsid w:val="529D29DC"/>
    <w:rsid w:val="52AE701D"/>
    <w:rsid w:val="535E5836"/>
    <w:rsid w:val="53F10E28"/>
    <w:rsid w:val="53F14B04"/>
    <w:rsid w:val="540750A6"/>
    <w:rsid w:val="542C537E"/>
    <w:rsid w:val="547F6C22"/>
    <w:rsid w:val="55466510"/>
    <w:rsid w:val="56521689"/>
    <w:rsid w:val="56D65D57"/>
    <w:rsid w:val="56F17501"/>
    <w:rsid w:val="57654BE2"/>
    <w:rsid w:val="57A9014F"/>
    <w:rsid w:val="57F952BE"/>
    <w:rsid w:val="586800F1"/>
    <w:rsid w:val="58796721"/>
    <w:rsid w:val="58A83A51"/>
    <w:rsid w:val="590D6172"/>
    <w:rsid w:val="59590F80"/>
    <w:rsid w:val="59A01DFE"/>
    <w:rsid w:val="59E6386C"/>
    <w:rsid w:val="5A9A25BB"/>
    <w:rsid w:val="5B2A5A21"/>
    <w:rsid w:val="5B8C116F"/>
    <w:rsid w:val="5C363BF2"/>
    <w:rsid w:val="5D554121"/>
    <w:rsid w:val="5D6C2208"/>
    <w:rsid w:val="5E732EA5"/>
    <w:rsid w:val="5F645F89"/>
    <w:rsid w:val="60824C70"/>
    <w:rsid w:val="60C46D11"/>
    <w:rsid w:val="60EC587A"/>
    <w:rsid w:val="60F53AD7"/>
    <w:rsid w:val="62BC6020"/>
    <w:rsid w:val="63ED494A"/>
    <w:rsid w:val="64CD22CA"/>
    <w:rsid w:val="64ED25B4"/>
    <w:rsid w:val="6578273C"/>
    <w:rsid w:val="66E225B5"/>
    <w:rsid w:val="68104923"/>
    <w:rsid w:val="69971DA3"/>
    <w:rsid w:val="69AB6EAB"/>
    <w:rsid w:val="69B61E2B"/>
    <w:rsid w:val="6AAC3642"/>
    <w:rsid w:val="6DDB1F9F"/>
    <w:rsid w:val="6DE41198"/>
    <w:rsid w:val="6E594CE2"/>
    <w:rsid w:val="6EAB1751"/>
    <w:rsid w:val="6F9A608C"/>
    <w:rsid w:val="6FB91C73"/>
    <w:rsid w:val="706E5ED0"/>
    <w:rsid w:val="70D34CA6"/>
    <w:rsid w:val="72503BE2"/>
    <w:rsid w:val="72667A1C"/>
    <w:rsid w:val="7271065C"/>
    <w:rsid w:val="72D84A94"/>
    <w:rsid w:val="7386251A"/>
    <w:rsid w:val="73D32791"/>
    <w:rsid w:val="741D07B1"/>
    <w:rsid w:val="74CA3F6B"/>
    <w:rsid w:val="751276B1"/>
    <w:rsid w:val="763F436A"/>
    <w:rsid w:val="76871C91"/>
    <w:rsid w:val="790838FA"/>
    <w:rsid w:val="79981EA8"/>
    <w:rsid w:val="79B76BD7"/>
    <w:rsid w:val="7A84741B"/>
    <w:rsid w:val="7B9B0538"/>
    <w:rsid w:val="7C416BFD"/>
    <w:rsid w:val="7C975798"/>
    <w:rsid w:val="7D10425F"/>
    <w:rsid w:val="7D867DDE"/>
    <w:rsid w:val="7EAD6EB9"/>
    <w:rsid w:val="7F23500C"/>
    <w:rsid w:val="7F4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方正小标宋" w:eastAsia="方正小标宋" w:hAnsi="方正小标宋" w:cs="方正小标宋"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仿宋_GB2312" w:eastAsia="仿宋_GB2312" w:cs="仿宋_GB2312"/>
      <w:color w:val="000000"/>
      <w:sz w:val="30"/>
      <w:szCs w:val="30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fontstyle41">
    <w:name w:val="fontstyle41"/>
    <w:basedOn w:val="a0"/>
    <w:qFormat/>
    <w:rPr>
      <w:rFonts w:ascii="黑体" w:eastAsia="黑体" w:hAnsi="宋体" w:cs="黑体"/>
      <w:color w:val="000000"/>
      <w:sz w:val="32"/>
      <w:szCs w:val="32"/>
    </w:rPr>
  </w:style>
  <w:style w:type="character" w:customStyle="1" w:styleId="fontstyle51">
    <w:name w:val="fontstyle51"/>
    <w:basedOn w:val="a0"/>
    <w:qFormat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仿宋_GB2312" w:eastAsia="仿宋_GB2312" w:cs="仿宋_GB2312"/>
      <w:color w:val="000000"/>
      <w:sz w:val="28"/>
      <w:szCs w:val="28"/>
    </w:rPr>
  </w:style>
  <w:style w:type="paragraph" w:customStyle="1" w:styleId="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font21">
    <w:name w:val="font2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B6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57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57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方正小标宋" w:eastAsia="方正小标宋" w:hAnsi="方正小标宋" w:cs="方正小标宋"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仿宋_GB2312" w:eastAsia="仿宋_GB2312" w:cs="仿宋_GB2312"/>
      <w:color w:val="000000"/>
      <w:sz w:val="30"/>
      <w:szCs w:val="30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fontstyle41">
    <w:name w:val="fontstyle41"/>
    <w:basedOn w:val="a0"/>
    <w:qFormat/>
    <w:rPr>
      <w:rFonts w:ascii="黑体" w:eastAsia="黑体" w:hAnsi="宋体" w:cs="黑体"/>
      <w:color w:val="000000"/>
      <w:sz w:val="32"/>
      <w:szCs w:val="32"/>
    </w:rPr>
  </w:style>
  <w:style w:type="character" w:customStyle="1" w:styleId="fontstyle51">
    <w:name w:val="fontstyle51"/>
    <w:basedOn w:val="a0"/>
    <w:qFormat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仿宋_GB2312" w:eastAsia="仿宋_GB2312" w:cs="仿宋_GB2312"/>
      <w:color w:val="000000"/>
      <w:sz w:val="28"/>
      <w:szCs w:val="28"/>
    </w:rPr>
  </w:style>
  <w:style w:type="paragraph" w:customStyle="1" w:styleId="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font21">
    <w:name w:val="font2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B6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57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57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2D00D-6C88-4AC0-BD23-A83A8CCF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362</Words>
  <Characters>2067</Characters>
  <Application>Microsoft Office Word</Application>
  <DocSecurity>0</DocSecurity>
  <Lines>17</Lines>
  <Paragraphs>4</Paragraphs>
  <ScaleCrop>false</ScaleCrop>
  <Company>Sdwm.ORG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深度完美技术论坛</cp:lastModifiedBy>
  <cp:revision>14</cp:revision>
  <dcterms:created xsi:type="dcterms:W3CDTF">2014-10-29T12:08:00Z</dcterms:created>
  <dcterms:modified xsi:type="dcterms:W3CDTF">2023-12-19T06:08:00Z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4263409B3ABB4075A39C5F794D90412E</vt:lpwstr>
  </property>
</Properties>
</file>