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E7" w:rsidRPr="008817B1" w:rsidRDefault="00B74BE7" w:rsidP="00B74BE7">
      <w:pPr>
        <w:widowControl w:val="0"/>
        <w:spacing w:line="360" w:lineRule="auto"/>
        <w:jc w:val="center"/>
        <w:rPr>
          <w:rFonts w:ascii="华文中宋" w:eastAsia="华文中宋" w:hAnsi="华文中宋"/>
          <w:b/>
          <w:color w:val="FF0000"/>
          <w:spacing w:val="136"/>
          <w:kern w:val="2"/>
          <w:position w:val="34"/>
          <w:sz w:val="90"/>
          <w:szCs w:val="90"/>
          <w:lang w:eastAsia="zh-CN"/>
        </w:rPr>
      </w:pPr>
      <w:bookmarkStart w:id="0" w:name="br1"/>
      <w:bookmarkEnd w:id="0"/>
      <w:r w:rsidRPr="008817B1">
        <w:rPr>
          <w:rFonts w:ascii="华文中宋" w:eastAsia="华文中宋" w:hAnsi="华文中宋" w:hint="eastAsia"/>
          <w:b/>
          <w:color w:val="FF0000"/>
          <w:spacing w:val="136"/>
          <w:kern w:val="2"/>
          <w:position w:val="34"/>
          <w:sz w:val="90"/>
          <w:szCs w:val="90"/>
          <w:lang w:eastAsia="zh-CN"/>
        </w:rPr>
        <w:t>长春开放大学</w:t>
      </w:r>
    </w:p>
    <w:p w:rsidR="00B74BE7" w:rsidRPr="008817B1" w:rsidRDefault="008817B1" w:rsidP="00B74BE7">
      <w:pPr>
        <w:spacing w:line="360" w:lineRule="auto"/>
        <w:jc w:val="center"/>
        <w:rPr>
          <w:rFonts w:ascii="华文中宋" w:eastAsia="华文中宋" w:hAnsi="华文中宋"/>
          <w:b/>
          <w:color w:val="FF0000"/>
          <w:spacing w:val="136"/>
          <w:kern w:val="2"/>
          <w:position w:val="34"/>
          <w:sz w:val="90"/>
          <w:szCs w:val="90"/>
          <w:lang w:eastAsia="zh-CN"/>
        </w:rPr>
      </w:pPr>
      <w:bookmarkStart w:id="1" w:name="br1_0"/>
      <w:bookmarkEnd w:id="1"/>
      <w:r w:rsidRPr="008817B1">
        <w:rPr>
          <w:rFonts w:ascii="华文中宋" w:eastAsia="华文中宋" w:hAnsi="华文中宋" w:hint="eastAsia"/>
          <w:b/>
          <w:color w:val="FF0000"/>
          <w:spacing w:val="136"/>
          <w:kern w:val="2"/>
          <w:position w:val="34"/>
          <w:sz w:val="90"/>
          <w:szCs w:val="90"/>
          <w:lang w:eastAsia="zh-CN"/>
        </w:rPr>
        <w:t>教学质</w:t>
      </w:r>
      <w:r w:rsidR="00B74BE7" w:rsidRPr="008817B1">
        <w:rPr>
          <w:rFonts w:ascii="华文中宋" w:eastAsia="华文中宋" w:hAnsi="华文中宋" w:hint="eastAsia"/>
          <w:b/>
          <w:color w:val="FF0000"/>
          <w:spacing w:val="136"/>
          <w:kern w:val="2"/>
          <w:position w:val="34"/>
          <w:sz w:val="90"/>
          <w:szCs w:val="90"/>
          <w:lang w:eastAsia="zh-CN"/>
        </w:rPr>
        <w:t>量</w:t>
      </w:r>
      <w:r w:rsidR="00B74BE7" w:rsidRPr="008817B1">
        <w:rPr>
          <w:rFonts w:ascii="华文中宋" w:eastAsia="华文中宋" w:hAnsi="华文中宋"/>
          <w:b/>
          <w:color w:val="FF0000"/>
          <w:spacing w:val="136"/>
          <w:kern w:val="2"/>
          <w:position w:val="34"/>
          <w:sz w:val="90"/>
          <w:szCs w:val="90"/>
          <w:lang w:eastAsia="zh-CN"/>
        </w:rPr>
        <w:t>简报</w:t>
      </w:r>
    </w:p>
    <w:p w:rsidR="00B74BE7" w:rsidRPr="0031532B" w:rsidRDefault="00B74BE7" w:rsidP="00B74BE7">
      <w:pPr>
        <w:spacing w:before="518" w:line="291" w:lineRule="exact"/>
        <w:jc w:val="center"/>
        <w:rPr>
          <w:rFonts w:ascii="仿宋" w:eastAsia="仿宋" w:hAnsi="仿宋"/>
          <w:color w:val="000000" w:themeColor="text1"/>
          <w:sz w:val="28"/>
          <w:szCs w:val="22"/>
          <w:lang w:eastAsia="zh-CN"/>
        </w:rPr>
      </w:pPr>
      <w:r w:rsidRPr="0031532B">
        <w:rPr>
          <w:rFonts w:ascii="仿宋" w:eastAsia="仿宋" w:hAnsi="仿宋" w:cstheme="minorBidi"/>
          <w:color w:val="000000" w:themeColor="text1"/>
          <w:spacing w:val="2"/>
          <w:sz w:val="28"/>
          <w:szCs w:val="22"/>
          <w:lang w:eastAsia="zh-CN"/>
        </w:rPr>
        <w:t>2022</w:t>
      </w:r>
      <w:r w:rsidRPr="0031532B">
        <w:rPr>
          <w:rFonts w:ascii="仿宋" w:eastAsia="仿宋" w:hAnsi="仿宋" w:cs="KaiTi"/>
          <w:color w:val="000000" w:themeColor="text1"/>
          <w:spacing w:val="1"/>
          <w:sz w:val="28"/>
          <w:szCs w:val="22"/>
          <w:lang w:eastAsia="zh-CN"/>
        </w:rPr>
        <w:t>年第</w:t>
      </w:r>
      <w:r w:rsidRPr="0031532B">
        <w:rPr>
          <w:rFonts w:ascii="仿宋" w:eastAsia="仿宋" w:hAnsi="仿宋" w:cstheme="minorBidi"/>
          <w:color w:val="000000" w:themeColor="text1"/>
          <w:spacing w:val="2"/>
          <w:sz w:val="28"/>
          <w:szCs w:val="22"/>
          <w:lang w:eastAsia="zh-CN"/>
        </w:rPr>
        <w:t>1</w:t>
      </w:r>
      <w:r w:rsidRPr="0031532B">
        <w:rPr>
          <w:rFonts w:ascii="仿宋" w:eastAsia="仿宋" w:hAnsi="仿宋" w:cs="KaiTi"/>
          <w:color w:val="000000" w:themeColor="text1"/>
          <w:sz w:val="28"/>
          <w:szCs w:val="22"/>
          <w:lang w:eastAsia="zh-CN"/>
        </w:rPr>
        <w:t>期</w:t>
      </w:r>
      <w:bookmarkStart w:id="2" w:name="_GoBack"/>
      <w:bookmarkEnd w:id="2"/>
    </w:p>
    <w:p w:rsidR="009A2CA1" w:rsidRPr="0031532B" w:rsidRDefault="00B74BE7" w:rsidP="009A2CA1">
      <w:pPr>
        <w:spacing w:before="834" w:line="250" w:lineRule="exact"/>
        <w:rPr>
          <w:rFonts w:ascii="仿宋" w:eastAsia="仿宋" w:hAnsi="仿宋" w:cs="FangSong"/>
          <w:color w:val="000000" w:themeColor="text1"/>
          <w:spacing w:val="1"/>
          <w:sz w:val="28"/>
          <w:szCs w:val="28"/>
          <w:lang w:eastAsia="zh-CN"/>
        </w:rPr>
      </w:pPr>
      <w:r w:rsidRPr="0031532B">
        <w:rPr>
          <w:rFonts w:ascii="仿宋" w:eastAsia="仿宋" w:hAnsi="仿宋" w:cs="FangSong" w:hint="eastAsia"/>
          <w:color w:val="000000" w:themeColor="text1"/>
          <w:spacing w:val="1"/>
          <w:sz w:val="28"/>
          <w:szCs w:val="28"/>
          <w:lang w:eastAsia="zh-CN"/>
        </w:rPr>
        <w:t>长春</w:t>
      </w:r>
      <w:r w:rsidRPr="0031532B">
        <w:rPr>
          <w:rFonts w:ascii="仿宋" w:eastAsia="仿宋" w:hAnsi="仿宋" w:cs="FangSong"/>
          <w:color w:val="000000" w:themeColor="text1"/>
          <w:spacing w:val="1"/>
          <w:sz w:val="28"/>
          <w:szCs w:val="28"/>
          <w:lang w:eastAsia="zh-CN"/>
        </w:rPr>
        <w:t>开放大学</w:t>
      </w:r>
      <w:r w:rsidRPr="0031532B">
        <w:rPr>
          <w:rFonts w:ascii="仿宋" w:eastAsia="仿宋" w:hAnsi="仿宋" w:cs="FangSong" w:hint="eastAsia"/>
          <w:color w:val="000000" w:themeColor="text1"/>
          <w:spacing w:val="1"/>
          <w:sz w:val="28"/>
          <w:szCs w:val="28"/>
          <w:lang w:eastAsia="zh-CN"/>
        </w:rPr>
        <w:t>教务科研处</w:t>
      </w:r>
      <w:r w:rsidRPr="0031532B">
        <w:rPr>
          <w:rFonts w:ascii="仿宋" w:eastAsia="仿宋" w:hAnsi="仿宋" w:cs="FangSong"/>
          <w:color w:val="000000" w:themeColor="text1"/>
          <w:spacing w:val="1"/>
          <w:sz w:val="28"/>
          <w:szCs w:val="28"/>
          <w:lang w:eastAsia="zh-CN"/>
        </w:rPr>
        <w:t>编</w:t>
      </w:r>
      <w:r w:rsidRPr="0031532B">
        <w:rPr>
          <w:rFonts w:ascii="仿宋" w:eastAsia="仿宋" w:hAnsi="仿宋" w:cs="FangSong" w:hint="eastAsia"/>
          <w:color w:val="FF0000"/>
          <w:spacing w:val="1"/>
          <w:sz w:val="28"/>
          <w:szCs w:val="28"/>
          <w:lang w:eastAsia="zh-CN"/>
        </w:rPr>
        <w:t xml:space="preserve"> </w:t>
      </w:r>
      <w:r w:rsidRPr="0031532B">
        <w:rPr>
          <w:rFonts w:ascii="仿宋" w:eastAsia="仿宋" w:hAnsi="仿宋" w:cs="FangSong"/>
          <w:color w:val="FF0000"/>
          <w:spacing w:val="1"/>
          <w:sz w:val="28"/>
          <w:szCs w:val="28"/>
          <w:lang w:eastAsia="zh-CN"/>
        </w:rPr>
        <w:t xml:space="preserve">              </w:t>
      </w:r>
      <w:r w:rsidRPr="0031532B">
        <w:rPr>
          <w:rFonts w:ascii="仿宋" w:eastAsia="仿宋" w:hAnsi="仿宋" w:cs="FangSong"/>
          <w:color w:val="000000" w:themeColor="text1"/>
          <w:spacing w:val="1"/>
          <w:sz w:val="28"/>
          <w:szCs w:val="28"/>
          <w:lang w:eastAsia="zh-CN"/>
        </w:rPr>
        <w:t xml:space="preserve"> 2022年</w:t>
      </w:r>
      <w:r w:rsidR="0080706A">
        <w:rPr>
          <w:rFonts w:ascii="仿宋" w:eastAsia="仿宋" w:hAnsi="仿宋" w:cs="FangSong"/>
          <w:color w:val="000000" w:themeColor="text1"/>
          <w:spacing w:val="1"/>
          <w:sz w:val="28"/>
          <w:szCs w:val="28"/>
          <w:lang w:eastAsia="zh-CN"/>
        </w:rPr>
        <w:t>12</w:t>
      </w:r>
      <w:r w:rsidRPr="0031532B">
        <w:rPr>
          <w:rFonts w:ascii="仿宋" w:eastAsia="仿宋" w:hAnsi="仿宋" w:cs="FangSong"/>
          <w:color w:val="000000" w:themeColor="text1"/>
          <w:spacing w:val="1"/>
          <w:sz w:val="28"/>
          <w:szCs w:val="28"/>
          <w:lang w:eastAsia="zh-CN"/>
        </w:rPr>
        <w:t>月13</w:t>
      </w:r>
      <w:r w:rsidRPr="0031532B">
        <w:rPr>
          <w:rFonts w:ascii="仿宋" w:eastAsia="仿宋" w:hAnsi="仿宋" w:cs="FangSong" w:hint="eastAsia"/>
          <w:color w:val="000000" w:themeColor="text1"/>
          <w:spacing w:val="1"/>
          <w:sz w:val="28"/>
          <w:szCs w:val="28"/>
          <w:lang w:eastAsia="zh-CN"/>
        </w:rPr>
        <w:t>日</w:t>
      </w:r>
    </w:p>
    <w:p w:rsidR="009A2CA1" w:rsidRPr="009A2CA1" w:rsidRDefault="009A2CA1" w:rsidP="009A2CA1">
      <w:pPr>
        <w:spacing w:before="834" w:line="250" w:lineRule="exact"/>
        <w:rPr>
          <w:rFonts w:ascii="FangSong" w:hAnsi="FangSong" w:cs="FangSong"/>
          <w:color w:val="000000" w:themeColor="text1"/>
          <w:spacing w:val="1"/>
          <w:sz w:val="28"/>
          <w:szCs w:val="28"/>
          <w:lang w:eastAsia="zh-CN"/>
        </w:rPr>
      </w:pPr>
      <w:r w:rsidRPr="00B74BE7">
        <w:rPr>
          <w:rFonts w:ascii="FangSong" w:hAnsi="FangSong" w:cs="FangSong"/>
          <w:noProof/>
          <w:color w:val="000000" w:themeColor="text1"/>
          <w:spacing w:val="1"/>
          <w:sz w:val="28"/>
          <w:szCs w:val="28"/>
          <w:lang w:eastAsia="zh-CN"/>
        </w:rPr>
        <w:drawing>
          <wp:anchor distT="0" distB="0" distL="114300" distR="114300" simplePos="0" relativeHeight="251660288" behindDoc="1" locked="0" layoutInCell="1" allowOverlap="1" wp14:anchorId="6701B569" wp14:editId="47995E8D">
            <wp:simplePos x="0" y="0"/>
            <wp:positionH relativeFrom="margin">
              <wp:align>right</wp:align>
            </wp:positionH>
            <wp:positionV relativeFrom="page">
              <wp:posOffset>4274820</wp:posOffset>
            </wp:positionV>
            <wp:extent cx="5368925" cy="38100"/>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8925" cy="38100"/>
                    </a:xfrm>
                    <a:prstGeom prst="rect">
                      <a:avLst/>
                    </a:prstGeom>
                    <a:noFill/>
                  </pic:spPr>
                </pic:pic>
              </a:graphicData>
            </a:graphic>
            <wp14:sizeRelH relativeFrom="page">
              <wp14:pctWidth>0</wp14:pctWidth>
            </wp14:sizeRelH>
            <wp14:sizeRelV relativeFrom="page">
              <wp14:pctHeight>0</wp14:pctHeight>
            </wp14:sizeRelV>
          </wp:anchor>
        </w:drawing>
      </w:r>
      <w:r w:rsidRPr="00B74BE7">
        <w:rPr>
          <w:rFonts w:ascii="FangSong" w:hAnsi="FangSong" w:cs="FangSong"/>
          <w:noProof/>
          <w:color w:val="000000" w:themeColor="text1"/>
          <w:spacing w:val="1"/>
          <w:sz w:val="28"/>
          <w:szCs w:val="28"/>
          <w:lang w:eastAsia="zh-CN"/>
        </w:rPr>
        <w:drawing>
          <wp:anchor distT="0" distB="0" distL="114300" distR="114300" simplePos="0" relativeHeight="251659264" behindDoc="1" locked="0" layoutInCell="1" allowOverlap="1" wp14:anchorId="61CD2628" wp14:editId="163DABB1">
            <wp:simplePos x="0" y="0"/>
            <wp:positionH relativeFrom="margin">
              <wp:align>right</wp:align>
            </wp:positionH>
            <wp:positionV relativeFrom="page">
              <wp:posOffset>4229100</wp:posOffset>
            </wp:positionV>
            <wp:extent cx="5368925" cy="381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8925" cy="38100"/>
                    </a:xfrm>
                    <a:prstGeom prst="rect">
                      <a:avLst/>
                    </a:prstGeom>
                    <a:noFill/>
                  </pic:spPr>
                </pic:pic>
              </a:graphicData>
            </a:graphic>
            <wp14:sizeRelH relativeFrom="page">
              <wp14:pctWidth>0</wp14:pctWidth>
            </wp14:sizeRelH>
            <wp14:sizeRelV relativeFrom="page">
              <wp14:pctHeight>0</wp14:pctHeight>
            </wp14:sizeRelV>
          </wp:anchor>
        </w:drawing>
      </w:r>
    </w:p>
    <w:p w:rsidR="009A2CA1" w:rsidRPr="00896BC9" w:rsidRDefault="009A2CA1" w:rsidP="009A2CA1">
      <w:pPr>
        <w:widowControl w:val="0"/>
        <w:jc w:val="center"/>
        <w:rPr>
          <w:rFonts w:ascii="华文中宋" w:eastAsia="华文中宋" w:hAnsi="华文中宋"/>
          <w:b/>
          <w:kern w:val="2"/>
          <w:sz w:val="36"/>
          <w:szCs w:val="36"/>
          <w:lang w:eastAsia="zh-CN"/>
        </w:rPr>
      </w:pPr>
      <w:r w:rsidRPr="00896BC9">
        <w:rPr>
          <w:rFonts w:ascii="华文中宋" w:eastAsia="华文中宋" w:hAnsi="华文中宋" w:cs="宋体" w:hint="eastAsia"/>
          <w:b/>
          <w:kern w:val="2"/>
          <w:sz w:val="36"/>
          <w:szCs w:val="36"/>
          <w:lang w:eastAsia="zh-CN"/>
        </w:rPr>
        <w:t>深入落实“创优提质”工程，助推开放教育量质齐升</w:t>
      </w:r>
    </w:p>
    <w:p w:rsidR="009A2CA1" w:rsidRPr="009A2CA1" w:rsidRDefault="009A2CA1" w:rsidP="009A2CA1">
      <w:pPr>
        <w:widowControl w:val="0"/>
        <w:jc w:val="both"/>
        <w:rPr>
          <w:rFonts w:ascii="仿宋" w:eastAsia="仿宋" w:hAnsi="仿宋"/>
          <w:kern w:val="2"/>
          <w:sz w:val="32"/>
          <w:szCs w:val="32"/>
          <w:lang w:eastAsia="zh-CN"/>
        </w:rPr>
      </w:pPr>
    </w:p>
    <w:p w:rsidR="009A2CA1" w:rsidRPr="009A2CA1" w:rsidRDefault="009A2CA1" w:rsidP="009A2CA1">
      <w:pPr>
        <w:widowControl w:val="0"/>
        <w:ind w:firstLine="640"/>
        <w:jc w:val="both"/>
        <w:rPr>
          <w:rFonts w:ascii="仿宋" w:eastAsia="仿宋" w:hAnsi="仿宋" w:cs="宋体"/>
          <w:color w:val="000000"/>
          <w:kern w:val="2"/>
          <w:sz w:val="32"/>
          <w:szCs w:val="32"/>
          <w:lang w:eastAsia="zh-CN"/>
        </w:rPr>
      </w:pPr>
      <w:r w:rsidRPr="009A2CA1">
        <w:rPr>
          <w:rFonts w:ascii="仿宋" w:eastAsia="仿宋" w:hAnsi="仿宋" w:cs="宋体" w:hint="eastAsia"/>
          <w:color w:val="000000"/>
          <w:kern w:val="2"/>
          <w:sz w:val="32"/>
          <w:szCs w:val="32"/>
          <w:lang w:eastAsia="zh-CN"/>
        </w:rPr>
        <w:t>为贯彻落实中共中央、国务院印发的《深化新时代教育评价改革总体方案》和教育部印发的《国家开放大学综合改革方案》，</w:t>
      </w:r>
      <w:r>
        <w:rPr>
          <w:rFonts w:ascii="仿宋" w:eastAsia="仿宋" w:hAnsi="仿宋" w:cs="宋体" w:hint="eastAsia"/>
          <w:color w:val="000000"/>
          <w:kern w:val="2"/>
          <w:sz w:val="32"/>
          <w:szCs w:val="32"/>
          <w:lang w:eastAsia="zh-CN"/>
        </w:rPr>
        <w:t>2</w:t>
      </w:r>
      <w:r>
        <w:rPr>
          <w:rFonts w:ascii="仿宋" w:eastAsia="仿宋" w:hAnsi="仿宋" w:cs="宋体"/>
          <w:color w:val="000000"/>
          <w:kern w:val="2"/>
          <w:sz w:val="32"/>
          <w:szCs w:val="32"/>
          <w:lang w:eastAsia="zh-CN"/>
        </w:rPr>
        <w:t>022</w:t>
      </w:r>
      <w:r>
        <w:rPr>
          <w:rFonts w:ascii="仿宋" w:eastAsia="仿宋" w:hAnsi="仿宋" w:cs="宋体" w:hint="eastAsia"/>
          <w:color w:val="000000"/>
          <w:kern w:val="2"/>
          <w:sz w:val="32"/>
          <w:szCs w:val="32"/>
          <w:lang w:eastAsia="zh-CN"/>
        </w:rPr>
        <w:t>年</w:t>
      </w:r>
      <w:r w:rsidRPr="009A2CA1">
        <w:rPr>
          <w:rFonts w:ascii="仿宋" w:eastAsia="仿宋" w:hAnsi="仿宋" w:cs="宋体" w:hint="eastAsia"/>
          <w:color w:val="000000"/>
          <w:kern w:val="2"/>
          <w:sz w:val="32"/>
          <w:szCs w:val="32"/>
          <w:lang w:eastAsia="zh-CN"/>
        </w:rPr>
        <w:t>长春开放大学深化教学改革，狠抓责任落实，固本强基、创优提质，多措并举推进开放教育量质齐升。</w:t>
      </w:r>
    </w:p>
    <w:p w:rsidR="009A2CA1" w:rsidRPr="009A2CA1" w:rsidRDefault="009A2CA1" w:rsidP="009A2CA1">
      <w:pPr>
        <w:widowControl w:val="0"/>
        <w:ind w:firstLine="640"/>
        <w:jc w:val="both"/>
        <w:rPr>
          <w:rFonts w:ascii="黑体" w:eastAsia="黑体" w:hAnsi="黑体" w:cs="宋体"/>
          <w:color w:val="000000"/>
          <w:kern w:val="2"/>
          <w:sz w:val="32"/>
          <w:szCs w:val="32"/>
          <w:lang w:eastAsia="zh-CN"/>
        </w:rPr>
      </w:pPr>
      <w:r w:rsidRPr="009A2CA1">
        <w:rPr>
          <w:rFonts w:ascii="黑体" w:eastAsia="黑体" w:hAnsi="黑体" w:cs="宋体" w:hint="eastAsia"/>
          <w:color w:val="000000"/>
          <w:kern w:val="2"/>
          <w:sz w:val="32"/>
          <w:szCs w:val="32"/>
          <w:lang w:eastAsia="zh-CN"/>
        </w:rPr>
        <w:t>一、聚焦顶层设计，以制度建设推进日常教学规范管理</w:t>
      </w:r>
    </w:p>
    <w:p w:rsidR="009A2CA1" w:rsidRDefault="009A2CA1" w:rsidP="009A2CA1">
      <w:pPr>
        <w:widowControl w:val="0"/>
        <w:ind w:firstLine="640"/>
        <w:jc w:val="both"/>
        <w:rPr>
          <w:rFonts w:ascii="仿宋" w:eastAsia="仿宋" w:hAnsi="仿宋" w:cs="宋体"/>
          <w:color w:val="000000"/>
          <w:kern w:val="2"/>
          <w:sz w:val="32"/>
          <w:szCs w:val="32"/>
          <w:lang w:eastAsia="zh-CN"/>
        </w:rPr>
      </w:pPr>
      <w:r w:rsidRPr="009A2CA1">
        <w:rPr>
          <w:rFonts w:ascii="仿宋" w:eastAsia="仿宋" w:hAnsi="仿宋" w:cs="宋体" w:hint="eastAsia"/>
          <w:color w:val="000000"/>
          <w:kern w:val="2"/>
          <w:sz w:val="32"/>
          <w:szCs w:val="32"/>
          <w:lang w:eastAsia="zh-CN"/>
        </w:rPr>
        <w:t>教务科研处先后制定了《教学质量监控体系实施方案》《教学督导工作条例》《网上教学工作要求》《网络教学团队考核工作细则》等20余项制度性文件，为学校规范办学管理、提升教学质量提供了根本遵循和制度保障。</w:t>
      </w:r>
    </w:p>
    <w:p w:rsidR="009A2CA1" w:rsidRDefault="009A2CA1" w:rsidP="009A2CA1">
      <w:pPr>
        <w:widowControl w:val="0"/>
        <w:ind w:firstLine="640"/>
        <w:jc w:val="both"/>
        <w:rPr>
          <w:rFonts w:ascii="仿宋" w:eastAsia="仿宋" w:hAnsi="仿宋" w:cs="宋体"/>
          <w:color w:val="000000"/>
          <w:kern w:val="2"/>
          <w:sz w:val="32"/>
          <w:szCs w:val="32"/>
          <w:lang w:eastAsia="zh-CN"/>
        </w:rPr>
      </w:pPr>
      <w:r>
        <w:rPr>
          <w:rFonts w:ascii="仿宋" w:eastAsia="仿宋" w:hAnsi="仿宋" w:cs="宋体" w:hint="eastAsia"/>
          <w:color w:val="000000"/>
          <w:kern w:val="2"/>
          <w:sz w:val="32"/>
          <w:szCs w:val="32"/>
          <w:lang w:eastAsia="zh-CN"/>
        </w:rPr>
        <w:t>校领导高度重视办学评估工作，</w:t>
      </w:r>
      <w:r w:rsidRPr="009A2CA1">
        <w:rPr>
          <w:rFonts w:ascii="仿宋" w:eastAsia="仿宋" w:hAnsi="仿宋" w:cs="宋体" w:hint="eastAsia"/>
          <w:color w:val="000000"/>
          <w:kern w:val="2"/>
          <w:sz w:val="32"/>
          <w:szCs w:val="32"/>
          <w:lang w:eastAsia="zh-CN"/>
        </w:rPr>
        <w:t>高位统筹、科学谋划，</w:t>
      </w:r>
      <w:r w:rsidRPr="009A2CA1">
        <w:rPr>
          <w:rFonts w:ascii="仿宋" w:eastAsia="仿宋" w:hAnsi="仿宋" w:cs="宋体" w:hint="eastAsia"/>
          <w:color w:val="000000"/>
          <w:kern w:val="2"/>
          <w:sz w:val="32"/>
          <w:szCs w:val="32"/>
          <w:lang w:eastAsia="zh-CN"/>
        </w:rPr>
        <w:lastRenderedPageBreak/>
        <w:t>第一时间召开了办学评估动员会，校党委孟繁军书记提出了以评估“促规范、促建设、促改革、创特色”的部署要求，长春开放大学党委副书记、校长明晓辉以《迎评促建 创新发展 为建设一流开放大学而努力奋斗》为题作了动员讲话。</w:t>
      </w:r>
    </w:p>
    <w:p w:rsidR="009A2CA1" w:rsidRDefault="009A2CA1" w:rsidP="009A2CA1">
      <w:pPr>
        <w:widowControl w:val="0"/>
        <w:ind w:firstLine="640"/>
        <w:jc w:val="both"/>
        <w:rPr>
          <w:rFonts w:ascii="仿宋" w:eastAsia="仿宋" w:hAnsi="仿宋" w:cs="宋体"/>
          <w:color w:val="000000"/>
          <w:kern w:val="2"/>
          <w:sz w:val="32"/>
          <w:szCs w:val="32"/>
          <w:lang w:eastAsia="zh-CN"/>
        </w:rPr>
      </w:pPr>
      <w:r w:rsidRPr="009A2CA1">
        <w:rPr>
          <w:rFonts w:ascii="仿宋" w:eastAsia="仿宋" w:hAnsi="仿宋" w:cs="宋体" w:hint="eastAsia"/>
          <w:kern w:val="2"/>
          <w:sz w:val="32"/>
          <w:szCs w:val="32"/>
          <w:lang w:eastAsia="zh-CN"/>
        </w:rPr>
        <w:t>10月</w:t>
      </w:r>
      <w:r w:rsidRPr="009A2CA1">
        <w:rPr>
          <w:rFonts w:ascii="仿宋" w:eastAsia="仿宋" w:hAnsi="仿宋" w:cs="宋体"/>
          <w:kern w:val="2"/>
          <w:sz w:val="32"/>
          <w:szCs w:val="32"/>
          <w:lang w:eastAsia="zh-CN"/>
        </w:rPr>
        <w:t>18</w:t>
      </w:r>
      <w:r w:rsidRPr="009A2CA1">
        <w:rPr>
          <w:rFonts w:ascii="仿宋" w:eastAsia="仿宋" w:hAnsi="仿宋" w:cs="宋体" w:hint="eastAsia"/>
          <w:kern w:val="2"/>
          <w:sz w:val="32"/>
          <w:szCs w:val="32"/>
          <w:lang w:eastAsia="zh-CN"/>
        </w:rPr>
        <w:t>日—11月</w:t>
      </w:r>
      <w:r w:rsidRPr="009A2CA1">
        <w:rPr>
          <w:rFonts w:ascii="仿宋" w:eastAsia="仿宋" w:hAnsi="仿宋" w:cs="宋体"/>
          <w:kern w:val="2"/>
          <w:sz w:val="32"/>
          <w:szCs w:val="32"/>
          <w:lang w:eastAsia="zh-CN"/>
        </w:rPr>
        <w:t>10</w:t>
      </w:r>
      <w:r w:rsidRPr="009A2CA1">
        <w:rPr>
          <w:rFonts w:ascii="仿宋" w:eastAsia="仿宋" w:hAnsi="仿宋" w:cs="宋体" w:hint="eastAsia"/>
          <w:kern w:val="2"/>
          <w:sz w:val="32"/>
          <w:szCs w:val="32"/>
          <w:lang w:eastAsia="zh-CN"/>
        </w:rPr>
        <w:t>日，</w:t>
      </w:r>
      <w:r w:rsidRPr="009A2CA1">
        <w:rPr>
          <w:rFonts w:ascii="仿宋" w:eastAsia="仿宋" w:hAnsi="仿宋" w:cs="宋体" w:hint="eastAsia"/>
          <w:color w:val="000000"/>
          <w:kern w:val="2"/>
          <w:sz w:val="32"/>
          <w:szCs w:val="32"/>
          <w:lang w:eastAsia="zh-CN"/>
        </w:rPr>
        <w:t>校长明晓辉、副校长张杰亲自带队，深入各分校、学习中心开展综合教学检查、进行调研评估、创建教学基地、洽谈合作交流，以办学评估为契机，促进办学体系规范化、优质化。</w:t>
      </w:r>
    </w:p>
    <w:p w:rsidR="009A2CA1" w:rsidRPr="009A2CA1" w:rsidRDefault="009A2CA1" w:rsidP="009A2CA1">
      <w:pPr>
        <w:widowControl w:val="0"/>
        <w:ind w:firstLine="640"/>
        <w:jc w:val="both"/>
        <w:rPr>
          <w:rFonts w:ascii="黑体" w:eastAsia="黑体" w:hAnsi="黑体" w:cs="宋体"/>
          <w:color w:val="000000"/>
          <w:kern w:val="2"/>
          <w:sz w:val="32"/>
          <w:szCs w:val="32"/>
          <w:lang w:eastAsia="zh-CN"/>
        </w:rPr>
      </w:pPr>
      <w:r w:rsidRPr="009A2CA1">
        <w:rPr>
          <w:rFonts w:ascii="黑体" w:eastAsia="黑体" w:hAnsi="黑体" w:cs="宋体" w:hint="eastAsia"/>
          <w:color w:val="000000"/>
          <w:kern w:val="2"/>
          <w:sz w:val="32"/>
          <w:szCs w:val="32"/>
          <w:lang w:eastAsia="zh-CN"/>
        </w:rPr>
        <w:t>二、强化过程管理，以直播课堂推进云端教学有序开展</w:t>
      </w:r>
    </w:p>
    <w:p w:rsidR="009A2CA1" w:rsidRDefault="009A2CA1" w:rsidP="009A2CA1">
      <w:pPr>
        <w:widowControl w:val="0"/>
        <w:ind w:firstLine="640"/>
        <w:jc w:val="both"/>
        <w:rPr>
          <w:rFonts w:ascii="仿宋" w:eastAsia="仿宋" w:hAnsi="仿宋" w:cs="宋体"/>
          <w:kern w:val="2"/>
          <w:sz w:val="32"/>
          <w:szCs w:val="32"/>
          <w:lang w:eastAsia="zh-CN"/>
        </w:rPr>
      </w:pPr>
      <w:r w:rsidRPr="009A2CA1">
        <w:rPr>
          <w:rFonts w:ascii="仿宋" w:eastAsia="仿宋" w:hAnsi="仿宋" w:cs="宋体" w:hint="eastAsia"/>
          <w:color w:val="000000"/>
          <w:kern w:val="2"/>
          <w:sz w:val="32"/>
          <w:szCs w:val="32"/>
          <w:lang w:eastAsia="zh-CN"/>
        </w:rPr>
        <w:t>学校始终坚持“线上+线下相结合”的教学模式，扎实推进“两堂双环双互动”和“1111”助学工程。</w:t>
      </w:r>
      <w:r w:rsidRPr="009A2CA1">
        <w:rPr>
          <w:rFonts w:ascii="仿宋" w:eastAsia="仿宋" w:hAnsi="仿宋" w:cs="宋体"/>
          <w:color w:val="000000"/>
          <w:kern w:val="2"/>
          <w:sz w:val="32"/>
          <w:szCs w:val="32"/>
          <w:lang w:eastAsia="zh-CN"/>
        </w:rPr>
        <w:t>为加强网上教学质量，落实国家开放大学“停课不停学、停课不停教”部署要求，学校制定《疫情防控期间在线直播教学工作方案》，</w:t>
      </w:r>
      <w:r w:rsidRPr="009A2CA1">
        <w:rPr>
          <w:rFonts w:ascii="仿宋" w:eastAsia="仿宋" w:hAnsi="仿宋" w:cs="宋体" w:hint="eastAsia"/>
          <w:kern w:val="2"/>
          <w:sz w:val="32"/>
          <w:szCs w:val="32"/>
          <w:lang w:eastAsia="zh-CN"/>
        </w:rPr>
        <w:t>并</w:t>
      </w:r>
      <w:r w:rsidRPr="009A2CA1">
        <w:rPr>
          <w:rFonts w:ascii="仿宋" w:eastAsia="仿宋" w:hAnsi="仿宋"/>
          <w:kern w:val="2"/>
          <w:sz w:val="32"/>
          <w:szCs w:val="32"/>
          <w:lang w:eastAsia="zh-CN"/>
        </w:rPr>
        <w:t>充分发挥我校开放教育办学主体责任，</w:t>
      </w:r>
      <w:r w:rsidRPr="009A2CA1">
        <w:rPr>
          <w:rFonts w:ascii="仿宋" w:eastAsia="仿宋" w:hAnsi="仿宋" w:cs="宋体"/>
          <w:kern w:val="2"/>
          <w:sz w:val="32"/>
          <w:szCs w:val="32"/>
          <w:lang w:eastAsia="zh-CN"/>
        </w:rPr>
        <w:t>面向全系统开展直播教学</w:t>
      </w:r>
      <w:r w:rsidRPr="009A2CA1">
        <w:rPr>
          <w:rFonts w:ascii="仿宋" w:eastAsia="仿宋" w:hAnsi="仿宋" w:cs="宋体" w:hint="eastAsia"/>
          <w:kern w:val="2"/>
          <w:sz w:val="32"/>
          <w:szCs w:val="32"/>
          <w:lang w:eastAsia="zh-CN"/>
        </w:rPr>
        <w:t>和实时教学</w:t>
      </w:r>
      <w:r w:rsidRPr="009A2CA1">
        <w:rPr>
          <w:rFonts w:ascii="仿宋" w:eastAsia="仿宋" w:hAnsi="仿宋" w:cs="宋体"/>
          <w:kern w:val="2"/>
          <w:sz w:val="32"/>
          <w:szCs w:val="32"/>
          <w:lang w:eastAsia="zh-CN"/>
        </w:rPr>
        <w:t>，</w:t>
      </w:r>
      <w:r w:rsidRPr="009A2CA1">
        <w:rPr>
          <w:rFonts w:ascii="仿宋" w:eastAsia="仿宋" w:hAnsi="仿宋" w:cs="宋体" w:hint="eastAsia"/>
          <w:kern w:val="2"/>
          <w:sz w:val="32"/>
          <w:szCs w:val="32"/>
          <w:lang w:eastAsia="zh-CN"/>
        </w:rPr>
        <w:t>2022年，我校累计开展直播教学</w:t>
      </w:r>
      <w:r w:rsidRPr="009A2CA1">
        <w:rPr>
          <w:rFonts w:ascii="仿宋" w:eastAsia="仿宋" w:hAnsi="仿宋" w:cs="宋体"/>
          <w:kern w:val="2"/>
          <w:sz w:val="32"/>
          <w:szCs w:val="32"/>
          <w:lang w:eastAsia="zh-CN"/>
        </w:rPr>
        <w:t>634</w:t>
      </w:r>
      <w:r w:rsidRPr="009A2CA1">
        <w:rPr>
          <w:rFonts w:ascii="仿宋" w:eastAsia="仿宋" w:hAnsi="仿宋" w:cs="宋体" w:hint="eastAsia"/>
          <w:kern w:val="2"/>
          <w:sz w:val="32"/>
          <w:szCs w:val="32"/>
          <w:lang w:eastAsia="zh-CN"/>
        </w:rPr>
        <w:t>讲、网上实时教学</w:t>
      </w:r>
      <w:r w:rsidRPr="009A2CA1">
        <w:rPr>
          <w:rFonts w:ascii="仿宋" w:eastAsia="仿宋" w:hAnsi="仿宋" w:cs="宋体"/>
          <w:kern w:val="2"/>
          <w:sz w:val="32"/>
          <w:szCs w:val="32"/>
          <w:lang w:eastAsia="zh-CN"/>
        </w:rPr>
        <w:t>3288</w:t>
      </w:r>
      <w:r w:rsidRPr="009A2CA1">
        <w:rPr>
          <w:rFonts w:ascii="仿宋" w:eastAsia="仿宋" w:hAnsi="仿宋" w:cs="宋体" w:hint="eastAsia"/>
          <w:kern w:val="2"/>
          <w:sz w:val="32"/>
          <w:szCs w:val="32"/>
          <w:lang w:eastAsia="zh-CN"/>
        </w:rPr>
        <w:t>讲。</w:t>
      </w:r>
    </w:p>
    <w:p w:rsidR="009A2CA1" w:rsidRPr="009A2CA1" w:rsidRDefault="009A2CA1" w:rsidP="009A2CA1">
      <w:pPr>
        <w:widowControl w:val="0"/>
        <w:ind w:firstLine="640"/>
        <w:jc w:val="both"/>
        <w:rPr>
          <w:rFonts w:ascii="仿宋" w:eastAsia="仿宋" w:hAnsi="仿宋" w:cs="宋体"/>
          <w:color w:val="FF0000"/>
          <w:kern w:val="2"/>
          <w:sz w:val="32"/>
          <w:szCs w:val="32"/>
          <w:lang w:eastAsia="zh-CN"/>
        </w:rPr>
      </w:pPr>
      <w:r w:rsidRPr="009A2CA1">
        <w:rPr>
          <w:rFonts w:ascii="仿宋" w:eastAsia="仿宋" w:hAnsi="仿宋" w:cs="宋体" w:hint="eastAsia"/>
          <w:kern w:val="2"/>
          <w:sz w:val="32"/>
          <w:szCs w:val="32"/>
          <w:lang w:eastAsia="zh-CN"/>
        </w:rPr>
        <w:t>学校还</w:t>
      </w:r>
      <w:r w:rsidRPr="009A2CA1">
        <w:rPr>
          <w:rFonts w:ascii="仿宋" w:eastAsia="仿宋" w:hAnsi="仿宋" w:cs="宋体"/>
          <w:kern w:val="2"/>
          <w:sz w:val="32"/>
          <w:szCs w:val="32"/>
          <w:lang w:eastAsia="zh-CN"/>
        </w:rPr>
        <w:t>组建了在线直播教学督导小组，全面掌握评估在线直播教学情况和效果，及时反馈存在的问题，形成“教</w:t>
      </w:r>
      <w:r w:rsidRPr="009A2CA1">
        <w:rPr>
          <w:rFonts w:ascii="仿宋" w:eastAsia="仿宋" w:hAnsi="仿宋" w:cs="宋体" w:hint="eastAsia"/>
          <w:kern w:val="2"/>
          <w:sz w:val="32"/>
          <w:szCs w:val="32"/>
          <w:lang w:eastAsia="zh-CN"/>
        </w:rPr>
        <w:t>-学-评-改-优</w:t>
      </w:r>
      <w:r w:rsidRPr="009A2CA1">
        <w:rPr>
          <w:rFonts w:ascii="仿宋" w:eastAsia="仿宋" w:hAnsi="仿宋" w:cs="宋体"/>
          <w:kern w:val="2"/>
          <w:sz w:val="32"/>
          <w:szCs w:val="32"/>
          <w:lang w:eastAsia="zh-CN"/>
        </w:rPr>
        <w:t>”的良性教学管理循环。教务科研处每学期</w:t>
      </w:r>
      <w:r w:rsidRPr="009A2CA1">
        <w:rPr>
          <w:rFonts w:ascii="仿宋" w:eastAsia="仿宋" w:hAnsi="仿宋" w:cs="宋体" w:hint="eastAsia"/>
          <w:kern w:val="2"/>
          <w:sz w:val="32"/>
          <w:szCs w:val="32"/>
          <w:lang w:eastAsia="zh-CN"/>
        </w:rPr>
        <w:t>下发“网上教学工作安排”</w:t>
      </w:r>
      <w:r w:rsidRPr="009A2CA1">
        <w:rPr>
          <w:rFonts w:ascii="仿宋" w:eastAsia="仿宋" w:hAnsi="仿宋" w:cs="宋体"/>
          <w:kern w:val="2"/>
          <w:sz w:val="32"/>
          <w:szCs w:val="32"/>
          <w:lang w:eastAsia="zh-CN"/>
        </w:rPr>
        <w:t>，</w:t>
      </w:r>
      <w:r w:rsidRPr="009A2CA1">
        <w:rPr>
          <w:rFonts w:ascii="仿宋" w:eastAsia="仿宋" w:hAnsi="仿宋" w:cs="宋体"/>
          <w:color w:val="000000"/>
          <w:kern w:val="2"/>
          <w:sz w:val="32"/>
          <w:szCs w:val="32"/>
          <w:lang w:eastAsia="zh-CN"/>
        </w:rPr>
        <w:t>进一步明确</w:t>
      </w:r>
      <w:r w:rsidRPr="009A2CA1">
        <w:rPr>
          <w:rFonts w:ascii="仿宋" w:eastAsia="仿宋" w:hAnsi="仿宋" w:cs="宋体" w:hint="eastAsia"/>
          <w:color w:val="000000"/>
          <w:kern w:val="2"/>
          <w:sz w:val="32"/>
          <w:szCs w:val="32"/>
          <w:lang w:eastAsia="zh-CN"/>
        </w:rPr>
        <w:t>网上资源建设，扎实有效落实网上教学各环节</w:t>
      </w:r>
      <w:r w:rsidRPr="009A2CA1">
        <w:rPr>
          <w:rFonts w:ascii="仿宋" w:eastAsia="仿宋" w:hAnsi="仿宋" w:cs="宋体" w:hint="eastAsia"/>
          <w:color w:val="FF0000"/>
          <w:kern w:val="2"/>
          <w:sz w:val="32"/>
          <w:szCs w:val="32"/>
          <w:lang w:eastAsia="zh-CN"/>
        </w:rPr>
        <w:t>。</w:t>
      </w:r>
    </w:p>
    <w:p w:rsidR="009A2CA1" w:rsidRPr="009A2CA1" w:rsidRDefault="009A2CA1" w:rsidP="009A2CA1">
      <w:pPr>
        <w:widowControl w:val="0"/>
        <w:ind w:firstLine="640"/>
        <w:jc w:val="both"/>
        <w:rPr>
          <w:rFonts w:ascii="黑体" w:eastAsia="黑体" w:hAnsi="黑体" w:cs="宋体"/>
          <w:color w:val="000000"/>
          <w:kern w:val="2"/>
          <w:sz w:val="32"/>
          <w:szCs w:val="32"/>
          <w:lang w:eastAsia="zh-CN"/>
        </w:rPr>
      </w:pPr>
      <w:r w:rsidRPr="009A2CA1">
        <w:rPr>
          <w:rFonts w:ascii="黑体" w:eastAsia="黑体" w:hAnsi="黑体" w:cs="宋体" w:hint="eastAsia"/>
          <w:color w:val="000000"/>
          <w:kern w:val="2"/>
          <w:sz w:val="32"/>
          <w:szCs w:val="32"/>
          <w:lang w:eastAsia="zh-CN"/>
        </w:rPr>
        <w:t>三、</w:t>
      </w:r>
      <w:r>
        <w:rPr>
          <w:rFonts w:ascii="黑体" w:eastAsia="黑体" w:hAnsi="黑体" w:cs="宋体" w:hint="eastAsia"/>
          <w:color w:val="000000"/>
          <w:kern w:val="2"/>
          <w:sz w:val="32"/>
          <w:szCs w:val="32"/>
          <w:lang w:eastAsia="zh-CN"/>
        </w:rPr>
        <w:t>发挥</w:t>
      </w:r>
      <w:r w:rsidRPr="009A2CA1">
        <w:rPr>
          <w:rFonts w:ascii="黑体" w:eastAsia="黑体" w:hAnsi="黑体" w:cs="宋体" w:hint="eastAsia"/>
          <w:color w:val="000000"/>
          <w:kern w:val="2"/>
          <w:sz w:val="32"/>
          <w:szCs w:val="32"/>
          <w:lang w:eastAsia="zh-CN"/>
        </w:rPr>
        <w:t>示范引领，以团队建设推进教育教学改革创新</w:t>
      </w:r>
    </w:p>
    <w:p w:rsidR="009A2CA1" w:rsidRDefault="009A2CA1" w:rsidP="009A2CA1">
      <w:pPr>
        <w:widowControl w:val="0"/>
        <w:ind w:firstLine="640"/>
        <w:jc w:val="both"/>
        <w:rPr>
          <w:rFonts w:ascii="仿宋" w:eastAsia="仿宋" w:hAnsi="仿宋" w:cs="宋体"/>
          <w:color w:val="000000"/>
          <w:kern w:val="2"/>
          <w:sz w:val="32"/>
          <w:szCs w:val="32"/>
          <w:lang w:eastAsia="zh-CN"/>
        </w:rPr>
      </w:pPr>
      <w:r w:rsidRPr="009A2CA1">
        <w:rPr>
          <w:rFonts w:ascii="仿宋" w:eastAsia="仿宋" w:hAnsi="仿宋" w:cs="宋体" w:hint="eastAsia"/>
          <w:color w:val="000000"/>
          <w:kern w:val="2"/>
          <w:sz w:val="32"/>
          <w:szCs w:val="32"/>
          <w:lang w:eastAsia="zh-CN"/>
        </w:rPr>
        <w:lastRenderedPageBreak/>
        <w:t>为推进教学团队建设，学校召开了网络教学团队交流研讨会，国家开放大学网络教学核心团队成员王蕾、张晶、孟沙沙老师分享交流在国开教学团队建设中的经验做法，思政课教学团队负责人朴民哲老师分享我校思政课网络教学实施团队的经验做法。学校以思政课程体系为单位，按照两级办学统筹组建了35人的大思政教学教研实施团队，形成责任链条明晰、年龄结构合理的思政课教学管理体系，通过开展制度大学习、集体备课说课、参加国开研修班、创建实践基地等系列活动，推进思政课高质量发展。学校组织各专业教师积极参加国开教学教研活动，以“头雁效应”激发“群雁齐飞”。唐文鹏老师受邀参加了国家开放大学法学专业课程思政教育教学改革与实践学术论坛，庞海燕老师受邀参加了国家开放大学公共事业管理专业教学工作研讨会，朴民哲老师受邀参加了国家开放大学第四期读书沙龙“学术论文写作方法”，孟沙沙老师讲授的《社会保障学》课程荣获教育部课程思政示范课，并荣获教育部课程思政教学名师。</w:t>
      </w:r>
    </w:p>
    <w:p w:rsidR="009A2CA1" w:rsidRPr="009A2CA1" w:rsidRDefault="009A2CA1" w:rsidP="009A2CA1">
      <w:pPr>
        <w:widowControl w:val="0"/>
        <w:ind w:firstLine="640"/>
        <w:jc w:val="both"/>
        <w:rPr>
          <w:rFonts w:ascii="黑体" w:eastAsia="黑体" w:hAnsi="黑体" w:cs="宋体"/>
          <w:color w:val="000000"/>
          <w:kern w:val="2"/>
          <w:sz w:val="32"/>
          <w:szCs w:val="32"/>
          <w:lang w:eastAsia="zh-CN"/>
        </w:rPr>
      </w:pPr>
      <w:r>
        <w:rPr>
          <w:rFonts w:ascii="黑体" w:eastAsia="黑体" w:hAnsi="黑体" w:cs="宋体" w:hint="eastAsia"/>
          <w:color w:val="000000"/>
          <w:kern w:val="2"/>
          <w:sz w:val="32"/>
          <w:szCs w:val="32"/>
          <w:lang w:eastAsia="zh-CN"/>
        </w:rPr>
        <w:t>四</w:t>
      </w:r>
      <w:r w:rsidRPr="009A2CA1">
        <w:rPr>
          <w:rFonts w:ascii="黑体" w:eastAsia="黑体" w:hAnsi="黑体" w:cs="宋体" w:hint="eastAsia"/>
          <w:color w:val="000000"/>
          <w:kern w:val="2"/>
          <w:sz w:val="32"/>
          <w:szCs w:val="32"/>
          <w:lang w:eastAsia="zh-CN"/>
        </w:rPr>
        <w:t>、加强队伍建设，以微课大赛推进课程思政落细落实</w:t>
      </w:r>
    </w:p>
    <w:p w:rsidR="003A223C" w:rsidRDefault="009A2CA1" w:rsidP="009A2CA1">
      <w:pPr>
        <w:widowControl w:val="0"/>
        <w:ind w:firstLine="640"/>
        <w:jc w:val="both"/>
        <w:rPr>
          <w:rFonts w:ascii="仿宋" w:eastAsia="仿宋" w:hAnsi="仿宋" w:cs="宋体"/>
          <w:color w:val="000000"/>
          <w:kern w:val="2"/>
          <w:sz w:val="32"/>
          <w:szCs w:val="32"/>
          <w:lang w:eastAsia="zh-CN"/>
        </w:rPr>
      </w:pPr>
      <w:r w:rsidRPr="009A2CA1">
        <w:rPr>
          <w:rFonts w:ascii="仿宋" w:eastAsia="仿宋" w:hAnsi="仿宋" w:cs="宋体" w:hint="eastAsia"/>
          <w:color w:val="000000"/>
          <w:kern w:val="2"/>
          <w:sz w:val="32"/>
          <w:szCs w:val="32"/>
          <w:lang w:eastAsia="zh-CN"/>
        </w:rPr>
        <w:t>2022年春季学期，学校举办了首届课程思政微课大赛，以全面提升教师的课程思政教学技能为着力点，以系统联动、多层级选拔的方式，选树一批具有较强课程思政意识与能力的教师，建设一批“课程思政微课程”，并通过学校微信公众号将优秀作品进行展播</w:t>
      </w:r>
      <w:r w:rsidR="003A223C">
        <w:rPr>
          <w:rFonts w:ascii="仿宋" w:eastAsia="仿宋" w:hAnsi="仿宋" w:cs="宋体" w:hint="eastAsia"/>
          <w:color w:val="000000"/>
          <w:kern w:val="2"/>
          <w:sz w:val="32"/>
          <w:szCs w:val="32"/>
          <w:lang w:eastAsia="zh-CN"/>
        </w:rPr>
        <w:t>。</w:t>
      </w:r>
    </w:p>
    <w:p w:rsidR="003A223C" w:rsidRPr="009A2CA1" w:rsidRDefault="003A223C" w:rsidP="003A223C">
      <w:pPr>
        <w:widowControl w:val="0"/>
        <w:ind w:firstLine="640"/>
        <w:jc w:val="both"/>
        <w:rPr>
          <w:rFonts w:ascii="仿宋" w:eastAsia="仿宋" w:hAnsi="仿宋" w:cs="宋体"/>
          <w:color w:val="000000"/>
          <w:kern w:val="2"/>
          <w:sz w:val="32"/>
          <w:szCs w:val="32"/>
          <w:lang w:eastAsia="zh-CN"/>
        </w:rPr>
      </w:pPr>
      <w:r w:rsidRPr="003A223C">
        <w:rPr>
          <w:rFonts w:ascii="仿宋" w:eastAsia="仿宋" w:hAnsi="仿宋" w:cs="宋体" w:hint="eastAsia"/>
          <w:color w:val="000000"/>
          <w:kern w:val="2"/>
          <w:sz w:val="32"/>
          <w:szCs w:val="32"/>
          <w:lang w:eastAsia="zh-CN"/>
        </w:rPr>
        <w:lastRenderedPageBreak/>
        <w:t>在教育教学中化“疫情危机”为“思政契机”，充分挖掘运用抗击疫情中的思政元素，教育引导学生正确认识并科学预防新冠病毒，传递抗击疫情正能量，让学生在战“疫”大考中深刻领悟中国共产党为什么能，中国特色社会主义为什么好，推进“思政课程”与“课程思政”协同育人、同向同行。</w:t>
      </w:r>
    </w:p>
    <w:p w:rsidR="009A2CA1" w:rsidRDefault="003A223C" w:rsidP="009A2CA1">
      <w:pPr>
        <w:widowControl w:val="0"/>
        <w:ind w:firstLineChars="200" w:firstLine="640"/>
        <w:jc w:val="both"/>
        <w:rPr>
          <w:rFonts w:ascii="仿宋" w:eastAsia="仿宋" w:hAnsi="仿宋" w:cs="宋体"/>
          <w:color w:val="000000"/>
          <w:kern w:val="2"/>
          <w:sz w:val="32"/>
          <w:szCs w:val="32"/>
          <w:lang w:eastAsia="zh-CN"/>
        </w:rPr>
      </w:pPr>
      <w:r w:rsidRPr="003A223C">
        <w:rPr>
          <w:rFonts w:ascii="仿宋" w:eastAsia="仿宋" w:hAnsi="仿宋" w:cs="宋体" w:hint="eastAsia"/>
          <w:color w:val="000000"/>
          <w:kern w:val="2"/>
          <w:sz w:val="32"/>
          <w:szCs w:val="32"/>
          <w:lang w:eastAsia="zh-CN"/>
        </w:rPr>
        <w:t>2022年学校共有4位老师在国开各项课程思政大赛中获奖，1位老师荣获国家开放大学优秀教师，5位学生在国开学前教育专业学生优秀实践作品征集活动和经济管理类案例设计与分析大赛中获奖，3位老师获优秀指导教师奖。</w:t>
      </w:r>
    </w:p>
    <w:p w:rsidR="000D537A" w:rsidRDefault="000D537A" w:rsidP="009A2CA1">
      <w:pPr>
        <w:widowControl w:val="0"/>
        <w:ind w:firstLineChars="200" w:firstLine="640"/>
        <w:jc w:val="both"/>
        <w:rPr>
          <w:rFonts w:ascii="仿宋" w:eastAsia="仿宋" w:hAnsi="仿宋" w:cs="宋体"/>
          <w:color w:val="000000"/>
          <w:kern w:val="2"/>
          <w:sz w:val="32"/>
          <w:szCs w:val="32"/>
          <w:lang w:eastAsia="zh-CN"/>
        </w:rPr>
      </w:pPr>
      <w:r w:rsidRPr="000D537A">
        <w:rPr>
          <w:rFonts w:ascii="仿宋" w:eastAsia="仿宋" w:hAnsi="仿宋" w:cs="宋体" w:hint="eastAsia"/>
          <w:color w:val="000000"/>
          <w:kern w:val="2"/>
          <w:sz w:val="32"/>
          <w:szCs w:val="32"/>
          <w:lang w:eastAsia="zh-CN"/>
        </w:rPr>
        <w:t>下一步，学校将以办学评估为契机，以评促改、以评促建，深入落实“创优提质”工程，进一步凝聚系统办学合力，提升系统办学质量，努力推动办学水平整体提高、量质齐升，不断开创开放教育高质量发展新局面。</w:t>
      </w:r>
    </w:p>
    <w:p w:rsidR="000D537A" w:rsidRDefault="000D537A" w:rsidP="009A2CA1">
      <w:pPr>
        <w:widowControl w:val="0"/>
        <w:ind w:firstLineChars="200" w:firstLine="640"/>
        <w:jc w:val="both"/>
        <w:rPr>
          <w:rFonts w:ascii="仿宋" w:eastAsia="仿宋" w:hAnsi="仿宋" w:cs="宋体"/>
          <w:color w:val="000000"/>
          <w:kern w:val="2"/>
          <w:sz w:val="32"/>
          <w:szCs w:val="32"/>
          <w:lang w:eastAsia="zh-CN"/>
        </w:rPr>
      </w:pPr>
    </w:p>
    <w:p w:rsidR="000D537A" w:rsidRDefault="000D537A" w:rsidP="009A2CA1">
      <w:pPr>
        <w:widowControl w:val="0"/>
        <w:ind w:firstLineChars="200" w:firstLine="640"/>
        <w:jc w:val="both"/>
        <w:rPr>
          <w:rFonts w:ascii="仿宋" w:eastAsia="仿宋" w:hAnsi="仿宋" w:cs="宋体"/>
          <w:color w:val="000000"/>
          <w:kern w:val="2"/>
          <w:sz w:val="32"/>
          <w:szCs w:val="32"/>
          <w:lang w:eastAsia="zh-CN"/>
        </w:rPr>
      </w:pPr>
    </w:p>
    <w:p w:rsidR="000D537A" w:rsidRDefault="000D537A" w:rsidP="009A2CA1">
      <w:pPr>
        <w:widowControl w:val="0"/>
        <w:ind w:firstLineChars="200" w:firstLine="640"/>
        <w:jc w:val="both"/>
        <w:rPr>
          <w:rFonts w:ascii="仿宋" w:eastAsia="仿宋" w:hAnsi="仿宋" w:cs="宋体"/>
          <w:color w:val="000000"/>
          <w:kern w:val="2"/>
          <w:sz w:val="32"/>
          <w:szCs w:val="32"/>
          <w:lang w:eastAsia="zh-CN"/>
        </w:rPr>
      </w:pPr>
    </w:p>
    <w:p w:rsidR="000D537A" w:rsidRDefault="000D537A" w:rsidP="009A2CA1">
      <w:pPr>
        <w:widowControl w:val="0"/>
        <w:ind w:firstLineChars="200" w:firstLine="640"/>
        <w:jc w:val="both"/>
        <w:rPr>
          <w:rFonts w:ascii="仿宋" w:eastAsia="仿宋" w:hAnsi="仿宋" w:cs="宋体"/>
          <w:color w:val="000000"/>
          <w:kern w:val="2"/>
          <w:sz w:val="32"/>
          <w:szCs w:val="32"/>
          <w:lang w:eastAsia="zh-CN"/>
        </w:rPr>
      </w:pPr>
    </w:p>
    <w:p w:rsidR="000D537A" w:rsidRPr="000D537A" w:rsidRDefault="000D537A" w:rsidP="000D537A">
      <w:pPr>
        <w:widowControl w:val="0"/>
        <w:spacing w:line="560" w:lineRule="exact"/>
        <w:jc w:val="both"/>
        <w:rPr>
          <w:rFonts w:ascii="仿宋" w:eastAsia="仿宋" w:hAnsi="仿宋" w:cs="宋体"/>
          <w:color w:val="000000"/>
          <w:kern w:val="2"/>
          <w:sz w:val="28"/>
          <w:szCs w:val="28"/>
          <w:lang w:eastAsia="zh-CN"/>
        </w:rPr>
      </w:pPr>
      <w:r w:rsidRPr="000D537A">
        <w:rPr>
          <w:rFonts w:ascii="仿宋" w:eastAsia="仿宋" w:hAnsi="仿宋" w:cs="宋体" w:hint="eastAsia"/>
          <w:noProof/>
          <w:color w:val="000000"/>
          <w:kern w:val="2"/>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40640</wp:posOffset>
                </wp:positionV>
                <wp:extent cx="5346700" cy="12700"/>
                <wp:effectExtent l="0" t="0" r="25400" b="25400"/>
                <wp:wrapNone/>
                <wp:docPr id="3" name="直接连接符 3"/>
                <wp:cNvGraphicFramePr/>
                <a:graphic xmlns:a="http://schemas.openxmlformats.org/drawingml/2006/main">
                  <a:graphicData uri="http://schemas.microsoft.com/office/word/2010/wordprocessingShape">
                    <wps:wsp>
                      <wps:cNvCnPr/>
                      <wps:spPr>
                        <a:xfrm>
                          <a:off x="0" y="0"/>
                          <a:ext cx="53467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AA978"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3.2pt" to="4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" strokecolor="black [3213]" strokeweight="1pt">
                <v:stroke joinstyle="miter"/>
              </v:line>
            </w:pict>
          </mc:Fallback>
        </mc:AlternateContent>
      </w:r>
      <w:r w:rsidRPr="000D537A">
        <w:rPr>
          <w:rFonts w:ascii="仿宋" w:eastAsia="仿宋" w:hAnsi="仿宋" w:cs="宋体" w:hint="eastAsia"/>
          <w:color w:val="000000"/>
          <w:kern w:val="2"/>
          <w:sz w:val="28"/>
          <w:szCs w:val="28"/>
          <w:lang w:eastAsia="zh-CN"/>
        </w:rPr>
        <w:t>报：</w:t>
      </w:r>
      <w:r w:rsidR="0031532B" w:rsidRPr="0031532B">
        <w:rPr>
          <w:rFonts w:ascii="仿宋" w:eastAsia="仿宋" w:hAnsi="仿宋" w:cs="宋体" w:hint="eastAsia"/>
          <w:color w:val="000000"/>
          <w:kern w:val="2"/>
          <w:sz w:val="28"/>
          <w:szCs w:val="28"/>
          <w:lang w:eastAsia="zh-CN"/>
        </w:rPr>
        <w:t>校</w:t>
      </w:r>
      <w:r w:rsidR="000D0213">
        <w:rPr>
          <w:rFonts w:ascii="仿宋" w:eastAsia="仿宋" w:hAnsi="仿宋" w:cs="宋体" w:hint="eastAsia"/>
          <w:color w:val="000000"/>
          <w:kern w:val="2"/>
          <w:sz w:val="28"/>
          <w:szCs w:val="28"/>
          <w:lang w:eastAsia="zh-CN"/>
        </w:rPr>
        <w:t>行政</w:t>
      </w:r>
      <w:r w:rsidR="0031532B" w:rsidRPr="0031532B">
        <w:rPr>
          <w:rFonts w:ascii="仿宋" w:eastAsia="仿宋" w:hAnsi="仿宋" w:cs="宋体" w:hint="eastAsia"/>
          <w:color w:val="000000"/>
          <w:kern w:val="2"/>
          <w:sz w:val="28"/>
          <w:szCs w:val="28"/>
          <w:lang w:eastAsia="zh-CN"/>
        </w:rPr>
        <w:t>班子成员</w:t>
      </w:r>
    </w:p>
    <w:p w:rsidR="000D537A" w:rsidRPr="000D537A" w:rsidRDefault="000D537A" w:rsidP="000D537A">
      <w:pPr>
        <w:widowControl w:val="0"/>
        <w:spacing w:line="560" w:lineRule="exact"/>
        <w:jc w:val="both"/>
        <w:rPr>
          <w:rFonts w:ascii="仿宋" w:eastAsia="仿宋" w:hAnsi="仿宋" w:cs="宋体"/>
          <w:color w:val="000000"/>
          <w:kern w:val="2"/>
          <w:sz w:val="28"/>
          <w:szCs w:val="28"/>
          <w:lang w:eastAsia="zh-CN"/>
        </w:rPr>
      </w:pPr>
      <w:r w:rsidRPr="000D537A">
        <w:rPr>
          <w:rFonts w:ascii="仿宋" w:eastAsia="仿宋" w:hAnsi="仿宋" w:cs="宋体" w:hint="eastAsia"/>
          <w:color w:val="000000"/>
          <w:kern w:val="2"/>
          <w:sz w:val="28"/>
          <w:szCs w:val="28"/>
          <w:lang w:eastAsia="zh-CN"/>
        </w:rPr>
        <w:t>发：各部门（处室），各分校、学习中心</w:t>
      </w:r>
    </w:p>
    <w:p w:rsidR="000D537A" w:rsidRPr="000D537A" w:rsidRDefault="000D537A" w:rsidP="000D537A">
      <w:pPr>
        <w:widowControl w:val="0"/>
        <w:spacing w:line="560" w:lineRule="exact"/>
        <w:jc w:val="both"/>
        <w:rPr>
          <w:rFonts w:ascii="仿宋" w:eastAsia="仿宋" w:hAnsi="仿宋" w:cs="宋体"/>
          <w:color w:val="000000"/>
          <w:kern w:val="2"/>
          <w:sz w:val="28"/>
          <w:szCs w:val="28"/>
          <w:lang w:eastAsia="zh-CN"/>
        </w:rPr>
      </w:pPr>
      <w:r w:rsidRPr="000D537A">
        <w:rPr>
          <w:rFonts w:ascii="仿宋" w:eastAsia="仿宋" w:hAnsi="仿宋" w:cs="宋体" w:hint="eastAsia"/>
          <w:color w:val="000000"/>
          <w:kern w:val="2"/>
          <w:sz w:val="28"/>
          <w:szCs w:val="28"/>
          <w:lang w:eastAsia="zh-CN"/>
        </w:rPr>
        <w:t xml:space="preserve">审签：张杰 </w:t>
      </w:r>
      <w:r w:rsidRPr="000D537A">
        <w:rPr>
          <w:rFonts w:ascii="仿宋" w:eastAsia="仿宋" w:hAnsi="仿宋" w:cs="宋体"/>
          <w:color w:val="000000"/>
          <w:kern w:val="2"/>
          <w:sz w:val="28"/>
          <w:szCs w:val="28"/>
          <w:lang w:eastAsia="zh-CN"/>
        </w:rPr>
        <w:t xml:space="preserve">   </w:t>
      </w:r>
      <w:r>
        <w:rPr>
          <w:rFonts w:ascii="仿宋" w:eastAsia="仿宋" w:hAnsi="仿宋" w:cs="宋体"/>
          <w:color w:val="000000"/>
          <w:kern w:val="2"/>
          <w:sz w:val="28"/>
          <w:szCs w:val="28"/>
          <w:lang w:eastAsia="zh-CN"/>
        </w:rPr>
        <w:t xml:space="preserve">     </w:t>
      </w:r>
      <w:r w:rsidRPr="000D537A">
        <w:rPr>
          <w:rFonts w:ascii="仿宋" w:eastAsia="仿宋" w:hAnsi="仿宋" w:cs="宋体" w:hint="eastAsia"/>
          <w:color w:val="000000"/>
          <w:kern w:val="2"/>
          <w:sz w:val="28"/>
          <w:szCs w:val="28"/>
          <w:lang w:eastAsia="zh-CN"/>
        </w:rPr>
        <w:t xml:space="preserve"> 审核：王爽爽 </w:t>
      </w:r>
      <w:r w:rsidRPr="000D537A">
        <w:rPr>
          <w:rFonts w:ascii="仿宋" w:eastAsia="仿宋" w:hAnsi="仿宋" w:cs="宋体"/>
          <w:color w:val="000000"/>
          <w:kern w:val="2"/>
          <w:sz w:val="28"/>
          <w:szCs w:val="28"/>
          <w:lang w:eastAsia="zh-CN"/>
        </w:rPr>
        <w:t xml:space="preserve">       </w:t>
      </w:r>
      <w:r>
        <w:rPr>
          <w:rFonts w:ascii="仿宋" w:eastAsia="仿宋" w:hAnsi="仿宋" w:cs="宋体"/>
          <w:color w:val="000000"/>
          <w:kern w:val="2"/>
          <w:sz w:val="28"/>
          <w:szCs w:val="28"/>
          <w:lang w:eastAsia="zh-CN"/>
        </w:rPr>
        <w:t xml:space="preserve"> </w:t>
      </w:r>
      <w:r w:rsidRPr="000D537A">
        <w:rPr>
          <w:rFonts w:ascii="仿宋" w:eastAsia="仿宋" w:hAnsi="仿宋" w:cs="宋体"/>
          <w:color w:val="000000"/>
          <w:kern w:val="2"/>
          <w:sz w:val="28"/>
          <w:szCs w:val="28"/>
          <w:lang w:eastAsia="zh-CN"/>
        </w:rPr>
        <w:t xml:space="preserve"> </w:t>
      </w:r>
      <w:r w:rsidRPr="000D537A">
        <w:rPr>
          <w:rFonts w:ascii="仿宋" w:eastAsia="仿宋" w:hAnsi="仿宋" w:cs="宋体" w:hint="eastAsia"/>
          <w:color w:val="000000"/>
          <w:kern w:val="2"/>
          <w:sz w:val="28"/>
          <w:szCs w:val="28"/>
          <w:lang w:eastAsia="zh-CN"/>
        </w:rPr>
        <w:t>责编：</w:t>
      </w:r>
      <w:r>
        <w:rPr>
          <w:rFonts w:ascii="仿宋" w:eastAsia="仿宋" w:hAnsi="仿宋" w:cs="宋体" w:hint="eastAsia"/>
          <w:color w:val="000000"/>
          <w:kern w:val="2"/>
          <w:sz w:val="28"/>
          <w:szCs w:val="28"/>
          <w:lang w:eastAsia="zh-CN"/>
        </w:rPr>
        <w:t>刘春艳</w:t>
      </w:r>
      <w:r w:rsidRPr="000D537A">
        <w:rPr>
          <w:rFonts w:ascii="仿宋" w:eastAsia="仿宋" w:hAnsi="仿宋" w:cs="宋体" w:hint="eastAsia"/>
          <w:noProof/>
          <w:color w:val="000000"/>
          <w:kern w:val="2"/>
          <w:sz w:val="28"/>
          <w:szCs w:val="28"/>
          <w:lang w:eastAsia="zh-CN"/>
        </w:rPr>
        <mc:AlternateContent>
          <mc:Choice Requires="wps">
            <w:drawing>
              <wp:anchor distT="0" distB="0" distL="114300" distR="114300" simplePos="0" relativeHeight="251665408" behindDoc="0" locked="0" layoutInCell="1" allowOverlap="1" wp14:anchorId="0B7E2C07" wp14:editId="026BCE61">
                <wp:simplePos x="0" y="0"/>
                <wp:positionH relativeFrom="column">
                  <wp:posOffset>0</wp:posOffset>
                </wp:positionH>
                <wp:positionV relativeFrom="paragraph">
                  <wp:posOffset>-635</wp:posOffset>
                </wp:positionV>
                <wp:extent cx="5346700" cy="12700"/>
                <wp:effectExtent l="0" t="0" r="25400" b="25400"/>
                <wp:wrapNone/>
                <wp:docPr id="5" name="直接连接符 5"/>
                <wp:cNvGraphicFramePr/>
                <a:graphic xmlns:a="http://schemas.openxmlformats.org/drawingml/2006/main">
                  <a:graphicData uri="http://schemas.microsoft.com/office/word/2010/wordprocessingShape">
                    <wps:wsp>
                      <wps:cNvCnPr/>
                      <wps:spPr>
                        <a:xfrm>
                          <a:off x="0" y="0"/>
                          <a:ext cx="5346700" cy="127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6430D0" id="直接连接符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05pt" to="4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" strokecolor="windowText" strokeweight="1pt">
                <v:stroke joinstyle="miter"/>
              </v:line>
            </w:pict>
          </mc:Fallback>
        </mc:AlternateContent>
      </w:r>
    </w:p>
    <w:p w:rsidR="000D537A" w:rsidRPr="009A2CA1" w:rsidRDefault="000D537A" w:rsidP="000D537A">
      <w:pPr>
        <w:widowControl w:val="0"/>
        <w:spacing w:line="560" w:lineRule="exact"/>
        <w:jc w:val="both"/>
        <w:rPr>
          <w:rFonts w:ascii="仿宋" w:eastAsia="仿宋" w:hAnsi="仿宋" w:cs="宋体"/>
          <w:color w:val="000000"/>
          <w:kern w:val="2"/>
          <w:sz w:val="28"/>
          <w:szCs w:val="28"/>
          <w:lang w:eastAsia="zh-CN"/>
        </w:rPr>
      </w:pPr>
      <w:r w:rsidRPr="000D537A">
        <w:rPr>
          <w:rFonts w:ascii="仿宋" w:eastAsia="仿宋" w:hAnsi="仿宋" w:cs="宋体" w:hint="eastAsia"/>
          <w:noProof/>
          <w:color w:val="000000"/>
          <w:kern w:val="2"/>
          <w:sz w:val="28"/>
          <w:szCs w:val="28"/>
          <w:lang w:eastAsia="zh-CN"/>
        </w:rPr>
        <mc:AlternateContent>
          <mc:Choice Requires="wps">
            <w:drawing>
              <wp:anchor distT="0" distB="0" distL="114300" distR="114300" simplePos="0" relativeHeight="251663360" behindDoc="0" locked="0" layoutInCell="1" allowOverlap="1" wp14:anchorId="0B7E2C07" wp14:editId="026BCE61">
                <wp:simplePos x="0" y="0"/>
                <wp:positionH relativeFrom="margin">
                  <wp:align>left</wp:align>
                </wp:positionH>
                <wp:positionV relativeFrom="paragraph">
                  <wp:posOffset>6985</wp:posOffset>
                </wp:positionV>
                <wp:extent cx="5346700" cy="12700"/>
                <wp:effectExtent l="0" t="0" r="25400" b="25400"/>
                <wp:wrapNone/>
                <wp:docPr id="4" name="直接连接符 4"/>
                <wp:cNvGraphicFramePr/>
                <a:graphic xmlns:a="http://schemas.openxmlformats.org/drawingml/2006/main">
                  <a:graphicData uri="http://schemas.microsoft.com/office/word/2010/wordprocessingShape">
                    <wps:wsp>
                      <wps:cNvCnPr/>
                      <wps:spPr>
                        <a:xfrm>
                          <a:off x="0" y="0"/>
                          <a:ext cx="5346700" cy="127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8BC7223" id="直接连接符 4"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55pt" to="4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" strokecolor="windowText" strokeweight="1pt">
                <v:stroke joinstyle="miter"/>
                <w10:wrap anchorx="margin"/>
              </v:line>
            </w:pict>
          </mc:Fallback>
        </mc:AlternateContent>
      </w:r>
      <w:r w:rsidRPr="000D537A">
        <w:rPr>
          <w:rFonts w:ascii="仿宋" w:eastAsia="仿宋" w:hAnsi="仿宋" w:cs="宋体" w:hint="eastAsia"/>
          <w:color w:val="000000"/>
          <w:kern w:val="2"/>
          <w:sz w:val="28"/>
          <w:szCs w:val="28"/>
          <w:lang w:eastAsia="zh-CN"/>
        </w:rPr>
        <w:t xml:space="preserve"> </w:t>
      </w:r>
      <w:r w:rsidRPr="000D537A">
        <w:rPr>
          <w:rFonts w:ascii="仿宋" w:eastAsia="仿宋" w:hAnsi="仿宋" w:cs="宋体"/>
          <w:color w:val="000000"/>
          <w:kern w:val="2"/>
          <w:sz w:val="28"/>
          <w:szCs w:val="28"/>
          <w:lang w:eastAsia="zh-CN"/>
        </w:rPr>
        <w:t xml:space="preserve">           </w:t>
      </w:r>
    </w:p>
    <w:sectPr w:rsidR="000D537A" w:rsidRPr="009A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7A" w:rsidRDefault="00AF4C7A" w:rsidP="00896BC9">
      <w:r>
        <w:separator/>
      </w:r>
    </w:p>
  </w:endnote>
  <w:endnote w:type="continuationSeparator" w:id="0">
    <w:p w:rsidR="00AF4C7A" w:rsidRDefault="00AF4C7A" w:rsidP="0089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KaiTi">
    <w:altName w:val="Leelawadee UI"/>
    <w:panose1 w:val="00000000000000000000"/>
    <w:charset w:val="01"/>
    <w:family w:val="auto"/>
    <w:notTrueType/>
    <w:pitch w:val="default"/>
    <w:sig w:usb0="00000000" w:usb1="01010101" w:usb2="01010101" w:usb3="01010101" w:csb0="01010101" w:csb1="01010101"/>
  </w:font>
  <w:font w:name="FangSong">
    <w:altName w:val="Leelawadee UI"/>
    <w:panose1 w:val="00000000000000000000"/>
    <w:charset w:val="01"/>
    <w:family w:val="auto"/>
    <w:notTrueType/>
    <w:pitch w:val="default"/>
    <w:sig w:usb0="00000000" w:usb1="01010101" w:usb2="01010101" w:usb3="01010101" w:csb0="01010101" w:csb1="01010101"/>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7A" w:rsidRDefault="00AF4C7A" w:rsidP="00896BC9">
      <w:r>
        <w:separator/>
      </w:r>
    </w:p>
  </w:footnote>
  <w:footnote w:type="continuationSeparator" w:id="0">
    <w:p w:rsidR="00AF4C7A" w:rsidRDefault="00AF4C7A" w:rsidP="00896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E7"/>
    <w:rsid w:val="000D0213"/>
    <w:rsid w:val="000D537A"/>
    <w:rsid w:val="001B514B"/>
    <w:rsid w:val="001E23DC"/>
    <w:rsid w:val="002E3264"/>
    <w:rsid w:val="0031532B"/>
    <w:rsid w:val="003A223C"/>
    <w:rsid w:val="005E2E82"/>
    <w:rsid w:val="0066336F"/>
    <w:rsid w:val="0080706A"/>
    <w:rsid w:val="008817B1"/>
    <w:rsid w:val="00896BC9"/>
    <w:rsid w:val="009A2CA1"/>
    <w:rsid w:val="00A77129"/>
    <w:rsid w:val="00AF4C7A"/>
    <w:rsid w:val="00B7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A3142A-8FEF-4340-BA1E-79FC4C01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E7"/>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BC9"/>
    <w:rPr>
      <w:rFonts w:ascii="Times New Roman" w:hAnsi="Times New Roman" w:cs="Times New Roman"/>
      <w:kern w:val="0"/>
      <w:sz w:val="18"/>
      <w:szCs w:val="18"/>
      <w:lang w:eastAsia="en-US"/>
    </w:rPr>
  </w:style>
  <w:style w:type="paragraph" w:styleId="a5">
    <w:name w:val="footer"/>
    <w:basedOn w:val="a"/>
    <w:link w:val="a6"/>
    <w:uiPriority w:val="99"/>
    <w:unhideWhenUsed/>
    <w:rsid w:val="00896BC9"/>
    <w:pPr>
      <w:tabs>
        <w:tab w:val="center" w:pos="4153"/>
        <w:tab w:val="right" w:pos="8306"/>
      </w:tabs>
      <w:snapToGrid w:val="0"/>
    </w:pPr>
    <w:rPr>
      <w:sz w:val="18"/>
      <w:szCs w:val="18"/>
    </w:rPr>
  </w:style>
  <w:style w:type="character" w:customStyle="1" w:styleId="a6">
    <w:name w:val="页脚 字符"/>
    <w:basedOn w:val="a0"/>
    <w:link w:val="a5"/>
    <w:uiPriority w:val="99"/>
    <w:rsid w:val="00896BC9"/>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Wang.SS</dc:creator>
  <cp:keywords/>
  <dc:description/>
  <cp:lastModifiedBy>Wang.SS</cp:lastModifiedBy>
  <cp:revision>11</cp:revision>
  <dcterms:created xsi:type="dcterms:W3CDTF">2023-01-24T06:27:00Z</dcterms:created>
  <dcterms:modified xsi:type="dcterms:W3CDTF">2023-02-09T03:36:00Z</dcterms:modified>
</cp:coreProperties>
</file>