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C7" w:rsidRDefault="007519C7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-34"/>
          <w:kern w:val="10"/>
        </w:rPr>
      </w:pPr>
    </w:p>
    <w:p w:rsidR="007519C7" w:rsidRDefault="002617D3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136"/>
          <w:kern w:val="0"/>
          <w:position w:val="34"/>
          <w:sz w:val="100"/>
          <w:szCs w:val="100"/>
        </w:rPr>
      </w:pPr>
      <w:r>
        <w:rPr>
          <w:rFonts w:ascii="华文中宋" w:eastAsia="华文中宋" w:hAnsi="华文中宋" w:hint="eastAsia"/>
          <w:b/>
          <w:color w:val="FF0000"/>
          <w:spacing w:val="136"/>
          <w:kern w:val="0"/>
          <w:position w:val="34"/>
          <w:sz w:val="100"/>
          <w:szCs w:val="100"/>
        </w:rPr>
        <w:t>长春开放大学</w:t>
      </w:r>
    </w:p>
    <w:p w:rsidR="007519C7" w:rsidRDefault="007519C7">
      <w:pPr>
        <w:rPr>
          <w:rFonts w:ascii="仿宋_GB2312" w:eastAsia="仿宋_GB2312" w:hAnsi="Calibri"/>
          <w:color w:val="000000"/>
          <w:sz w:val="18"/>
          <w:szCs w:val="18"/>
        </w:rPr>
      </w:pPr>
    </w:p>
    <w:p w:rsidR="007519C7" w:rsidRDefault="007519C7">
      <w:pPr>
        <w:rPr>
          <w:rFonts w:ascii="仿宋_GB2312" w:eastAsia="仿宋_GB2312" w:hAnsi="Calibri"/>
          <w:color w:val="000000"/>
          <w:sz w:val="18"/>
          <w:szCs w:val="18"/>
        </w:rPr>
      </w:pPr>
    </w:p>
    <w:p w:rsidR="007519C7" w:rsidRDefault="007519C7">
      <w:pPr>
        <w:ind w:firstLineChars="400" w:firstLine="720"/>
        <w:rPr>
          <w:rFonts w:ascii="仿宋_GB2312" w:eastAsia="仿宋_GB2312" w:hAnsi="Calibri"/>
          <w:color w:val="000000"/>
          <w:sz w:val="18"/>
          <w:szCs w:val="18"/>
        </w:rPr>
      </w:pPr>
    </w:p>
    <w:p w:rsidR="007519C7" w:rsidRDefault="007519C7">
      <w:pPr>
        <w:rPr>
          <w:rFonts w:ascii="仿宋_GB2312" w:eastAsia="仿宋_GB2312" w:hAnsi="Calibri"/>
          <w:color w:val="000000"/>
        </w:rPr>
      </w:pPr>
    </w:p>
    <w:p w:rsidR="007519C7" w:rsidRDefault="002617D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</w:rPr>
        <w:t>长开大</w:t>
      </w:r>
      <w:r>
        <w:rPr>
          <w:rFonts w:ascii="仿宋_GB2312" w:eastAsia="仿宋_GB2312" w:hint="eastAsia"/>
          <w:color w:val="000000"/>
          <w:sz w:val="32"/>
        </w:rPr>
        <w:t>教</w:t>
      </w:r>
      <w:r>
        <w:rPr>
          <w:rFonts w:ascii="仿宋_GB2312" w:eastAsia="仿宋_GB2312" w:hint="eastAsia"/>
          <w:color w:val="000000"/>
          <w:sz w:val="32"/>
        </w:rPr>
        <w:t>发</w:t>
      </w:r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 w:hint="eastAsia"/>
          <w:sz w:val="32"/>
        </w:rPr>
        <w:t>2025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int="eastAsia"/>
          <w:sz w:val="32"/>
        </w:rPr>
        <w:t xml:space="preserve">              </w:t>
      </w:r>
      <w:r>
        <w:rPr>
          <w:rFonts w:ascii="仿宋_GB2312" w:eastAsia="仿宋_GB2312" w:hint="eastAsia"/>
          <w:sz w:val="32"/>
        </w:rPr>
        <w:t>签发人：张辉</w:t>
      </w:r>
    </w:p>
    <w:p w:rsidR="007519C7" w:rsidRDefault="002617D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Calibri" w:hAnsi="Calibr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26.35pt;margin-top:12.35pt;height:0pt;width:468pt;z-index:251659264;mso-width-relative:page;mso-height-relative:page;" filled="f" stroked="t" coordsize="21600,21600" o:gfxdata="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wyH1dcAAAAJAQAADwAAAAAAAAABACAAAAAiAAAAZHJzL2Rvd25yZXYueG1sUEsBAhQA&#10;FAAAAAgAh07iQDRWf7zzAQAAyAMAAA4AAAAAAAAAAQAgAAAAJgEAAGRycy9lMm9Eb2MueG1sUEsF&#10;BgAAAAAGAAYAWQEAAIsFAAAAAA==&#10;">
                <v:fill on="f" focussize="0,0"/>
                <v:stroke weight="1pt" color="#FF0000" joinstyle="round"/>
                <v:imagedata o:title=""/>
                <o:lock v:ext="edit" aspectratio="t"/>
              </v:line>
            </w:pict>
          </mc:Fallback>
        </mc:AlternateContent>
      </w:r>
    </w:p>
    <w:p w:rsidR="007519C7" w:rsidRDefault="002617D3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关于</w:t>
      </w:r>
      <w:r>
        <w:rPr>
          <w:rFonts w:ascii="方正小标宋简体" w:eastAsia="方正小标宋简体" w:hAnsi="宋体" w:hint="eastAsia"/>
          <w:b/>
          <w:sz w:val="44"/>
          <w:szCs w:val="44"/>
        </w:rPr>
        <w:t>2025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春季学期网上教学工作安排</w:t>
      </w:r>
    </w:p>
    <w:p w:rsidR="007519C7" w:rsidRDefault="002617D3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的通知</w:t>
      </w:r>
    </w:p>
    <w:p w:rsidR="007519C7" w:rsidRDefault="002617D3">
      <w:pPr>
        <w:tabs>
          <w:tab w:val="left" w:pos="6813"/>
        </w:tabs>
        <w:spacing w:line="500" w:lineRule="exact"/>
        <w:jc w:val="left"/>
        <w:rPr>
          <w:rFonts w:ascii="宋体" w:hAnsi="宋体" w:cs="宋体"/>
          <w:b/>
          <w:sz w:val="44"/>
          <w:szCs w:val="44"/>
        </w:rPr>
      </w:pPr>
      <w:r>
        <w:rPr>
          <w:rFonts w:ascii="仿宋_GB2312" w:hAnsi="仿宋_GB2312" w:cs="仿宋_GB2312" w:hint="eastAsia"/>
          <w:b/>
          <w:sz w:val="44"/>
          <w:szCs w:val="44"/>
        </w:rPr>
        <w:tab/>
      </w:r>
    </w:p>
    <w:p w:rsidR="007519C7" w:rsidRDefault="002617D3">
      <w:pPr>
        <w:spacing w:line="360" w:lineRule="auto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各教学系、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思政部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各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学习中心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：</w:t>
      </w:r>
    </w:p>
    <w:p w:rsidR="007519C7" w:rsidRDefault="002617D3">
      <w:pPr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为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规范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网上教学工作，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有效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落实教学过程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，提升我校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网上教学质量，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根据国家开放大学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数智赋能一体化协同推进开放大学教育教学综合改革实施意见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《关于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2025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年春季学期网上教学工作安排的通知》及《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国家开放大学开放教育教学过程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管理规范（试行）》《长春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开放大学开放教育教学过程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管理规范（试行）》并结合我校实际，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将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2025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年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春季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学期网上教学工作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相关事宜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通知如下：</w:t>
      </w:r>
    </w:p>
    <w:p w:rsidR="007519C7" w:rsidRDefault="002617D3">
      <w:pPr>
        <w:spacing w:line="360" w:lineRule="auto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一、网上教学资源建设及更新工作安排</w:t>
      </w:r>
    </w:p>
    <w:p w:rsidR="007519C7" w:rsidRDefault="002617D3">
      <w:pPr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课程责任教师须在课程开课前根据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《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长春开放大学</w:t>
      </w:r>
    </w:p>
    <w:p w:rsidR="007519C7" w:rsidRDefault="002617D3">
      <w:pPr>
        <w:widowControl/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开放教育网上教学工作规范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》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及教学需要在国开学习网上对网上教学资源进行更新和维护。国开学习网上已有资源的课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lastRenderedPageBreak/>
        <w:t>程，课程责任教师可根据教学需要对课程学习资源进行更新和维护。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2025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年春季学期课程部署截止时间为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3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8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日，所有课程均须于该时间前完成课程部署及资源更新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考前辅导除外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）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，以免影响学生学习。课程学习资源须包含有效、适量的考前辅导材料，为学生复习备考提供必要指导。本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学期国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开学习网网上教学资源栏目的建设见附件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。</w:t>
      </w:r>
    </w:p>
    <w:p w:rsidR="007519C7" w:rsidRDefault="002617D3">
      <w:pPr>
        <w:spacing w:line="360" w:lineRule="auto"/>
        <w:ind w:firstLine="5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二、网络教学团队组建及运行</w:t>
      </w:r>
    </w:p>
    <w:p w:rsidR="007519C7" w:rsidRDefault="002617D3">
      <w:pPr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国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开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核心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>团队成员将获得部分主持教师权限，登录教师空间后，任教课程栏会增加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主持教师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角色的任教课程，可以查看各分部自建网上资源建设情况、网上活动组织情况、学生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形考任务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>提交情况以及教师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形考任务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>批阅情况。</w:t>
      </w:r>
    </w:p>
    <w:p w:rsidR="007519C7" w:rsidRDefault="002617D3">
      <w:pPr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各教学系、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思政部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按“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网络教学团队建设管理办法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”要求建设网络教学团队（包括网络教学实施团队和自建课程网络教学团队），各分校、学习中心按学校要求落实课程团队辅导教师。课程责任教师负责教学团队的建设规划、组织教学运行、并与课程教学核心团队的成员建立日常的教学业务联系，积极组织课程团队成员开展课程网络教学工作。</w:t>
      </w:r>
    </w:p>
    <w:p w:rsidR="007519C7" w:rsidRDefault="002617D3">
      <w:pPr>
        <w:spacing w:line="360" w:lineRule="auto"/>
        <w:ind w:firstLine="5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三、网上直播教学活动工作安排</w:t>
      </w:r>
    </w:p>
    <w:p w:rsidR="007519C7" w:rsidRDefault="002617D3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网上直播教学活动</w:t>
      </w:r>
    </w:p>
    <w:p w:rsidR="007519C7" w:rsidRDefault="002617D3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2025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年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春季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学期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继续利用国开云教室（小鱼易连）面向全系统的网上直播教学活动。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网上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直播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教学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需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明确教学目标、强化教学设计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。</w:t>
      </w:r>
    </w:p>
    <w:p w:rsidR="007519C7" w:rsidRDefault="002617D3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网上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直播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教学每次时长为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40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分钟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，直播课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PPT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背景必须有长春开放大学标识。为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保障学生学习效果，同一专业的网上直播教学不得安排在同一时间段。任课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教师须按时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开展网上直播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教学，坚决杜绝迟到早退、忘记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网上直播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教学等教学事故的发生。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教师应尽量避免修改直播教学的时间，如遇特殊情况需调整，请在直播开始前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3 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个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工作日以上提交申请，经三系一部负责人同意，教务科研处备案，报国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开同意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后予以调整。</w:t>
      </w:r>
    </w:p>
    <w:p w:rsidR="007519C7" w:rsidRDefault="002617D3">
      <w:pPr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各分校、学习中心要积极开展和参与网上直播教学，同时要组织学生收看课程直播教学。直播教学的课程及具体时间教务科研处汇总后发布。</w:t>
      </w:r>
    </w:p>
    <w:p w:rsidR="007519C7" w:rsidRDefault="002617D3">
      <w:pPr>
        <w:numPr>
          <w:ilvl w:val="0"/>
          <w:numId w:val="1"/>
        </w:numPr>
        <w:spacing w:line="360" w:lineRule="auto"/>
        <w:ind w:firstLine="56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网上实时教学工作安排</w:t>
      </w:r>
    </w:p>
    <w:p w:rsidR="007519C7" w:rsidRDefault="002617D3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课程责任教师按《长春开放大学开放教育网上教学工作规范》面向全系统开展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次实时教学。各教学系、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思政部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在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20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日前填写“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2025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春季学期网上实时教学活动一览表”（附件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），教务科研处汇总后发布，各分校、学习中心组织学生参加。同时各分校、学习中心需针对所开设的课程组织网上教学和辅导活动。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五、课程注册工作安排</w:t>
      </w:r>
    </w:p>
    <w:p w:rsidR="007519C7" w:rsidRDefault="002617D3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课程注册是教育教学活动组织、考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试报名、学费核算、教材征订等工作的基础和依据，为保障教学的稳定运行和有</w:t>
      </w:r>
    </w:p>
    <w:p w:rsidR="007519C7" w:rsidRDefault="002617D3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序开展，各分校、学习中心须严格按照时间要求完成课程注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lastRenderedPageBreak/>
        <w:t>册工作，逾期不再接受补注册。</w:t>
      </w:r>
    </w:p>
    <w:p w:rsidR="007519C7" w:rsidRDefault="002617D3">
      <w:pPr>
        <w:spacing w:line="360" w:lineRule="auto"/>
        <w:ind w:firstLine="561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．各分部（学院）须于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2025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年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2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8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日至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3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22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日在“一平台”教务系统完成开课计划设置，组织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2017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年秋季及以后学期入学且学籍状态为在籍的学生完成课程注册。</w:t>
      </w:r>
    </w:p>
    <w:p w:rsidR="007519C7" w:rsidRDefault="002617D3">
      <w:pPr>
        <w:spacing w:line="360" w:lineRule="auto"/>
        <w:ind w:firstLine="561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2025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年春季新生数据下发后十个工作日内，各分校、学习中心组织完成新生课程注册。</w:t>
      </w:r>
    </w:p>
    <w:p w:rsidR="007519C7" w:rsidRDefault="002617D3">
      <w:pPr>
        <w:spacing w:line="360" w:lineRule="auto"/>
        <w:ind w:firstLine="561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．各分校、学习中心须重点关注“形势与政策”、基于</w:t>
      </w:r>
    </w:p>
    <w:p w:rsidR="007519C7" w:rsidRDefault="002617D3">
      <w:pPr>
        <w:spacing w:line="360" w:lineRule="auto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学习网补考的课程注册，未进行课程注册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学生将无法参加基</w:t>
      </w:r>
    </w:p>
    <w:p w:rsidR="007519C7" w:rsidRDefault="002617D3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于学习网的考试。</w:t>
      </w:r>
    </w:p>
    <w:p w:rsidR="007519C7" w:rsidRDefault="002617D3">
      <w:pPr>
        <w:spacing w:line="360" w:lineRule="auto"/>
        <w:ind w:firstLine="561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．各分校、学习中心须提前检查毕业生课程注册情况，</w:t>
      </w:r>
    </w:p>
    <w:p w:rsidR="007519C7" w:rsidRDefault="002617D3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避免产生因遗漏课程注册、规则外选课等导致学生无法通过毕业审核的情况。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黑体" w:eastAsia="黑体" w:hAnsi="黑体" w:cs="仿宋_GB2312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lang w:bidi="ar"/>
        </w:rPr>
        <w:t>六、其他要求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．各教学系、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思政部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、各学习中心应高度重视上述工作，根据教学情况统筹安排落实。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．如有任何疑问、意见或建议，请及时与教务科研处联系。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．因工作人员失误，导致未能按时、按要求完成上述</w:t>
      </w:r>
    </w:p>
    <w:p w:rsidR="007519C7" w:rsidRDefault="002617D3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工作的，学校将视情况予以通报批评。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七、联系方式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.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国开学习网资源建设、实时教学、直播教学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lastRenderedPageBreak/>
        <w:t>联系部门：教务科研处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联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系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人：韩书娟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王廷廷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联系电话：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0431-82827773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.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直播教学技术维护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联系部门：资源建设处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联系人：房大明</w:t>
      </w: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联系电话：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0431-82827755</w:t>
      </w:r>
    </w:p>
    <w:p w:rsidR="007519C7" w:rsidRDefault="007519C7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7519C7" w:rsidRDefault="007519C7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7519C7" w:rsidRDefault="007519C7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7519C7" w:rsidRDefault="002617D3">
      <w:pPr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附件：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1.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2025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春季学期网上教学资源建设栏目</w:t>
      </w:r>
    </w:p>
    <w:p w:rsidR="007519C7" w:rsidRDefault="002617D3">
      <w:pPr>
        <w:spacing w:line="360" w:lineRule="auto"/>
        <w:ind w:firstLineChars="500" w:firstLine="160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2.2025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春季学期网上实时教学活动一览表</w:t>
      </w:r>
    </w:p>
    <w:p w:rsidR="007519C7" w:rsidRDefault="007519C7">
      <w:pPr>
        <w:spacing w:line="360" w:lineRule="auto"/>
        <w:ind w:firstLineChars="500" w:firstLine="160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7519C7" w:rsidRDefault="007519C7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7519C7" w:rsidRDefault="007519C7">
      <w:pPr>
        <w:spacing w:line="360" w:lineRule="auto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7519C7" w:rsidRDefault="002617D3">
      <w:pPr>
        <w:spacing w:line="360" w:lineRule="auto"/>
        <w:ind w:firstLineChars="1700" w:firstLine="54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长春开放大学</w:t>
      </w:r>
    </w:p>
    <w:p w:rsidR="00826768" w:rsidRDefault="00826768">
      <w:pPr>
        <w:spacing w:line="360" w:lineRule="auto"/>
        <w:ind w:firstLine="540"/>
        <w:jc w:val="left"/>
        <w:rPr>
          <w:rFonts w:ascii="仿宋_GB2312" w:eastAsia="仿宋_GB2312" w:hAnsi="Calibri" w:cs="仿宋_GB2312" w:hint="eastAsia"/>
          <w:sz w:val="32"/>
          <w:szCs w:val="32"/>
          <w:lang w:bidi="ar"/>
        </w:rPr>
      </w:pPr>
    </w:p>
    <w:p w:rsidR="00826768" w:rsidRDefault="00826768">
      <w:pPr>
        <w:spacing w:line="360" w:lineRule="auto"/>
        <w:ind w:firstLine="540"/>
        <w:jc w:val="left"/>
        <w:rPr>
          <w:rFonts w:ascii="仿宋_GB2312" w:eastAsia="仿宋_GB2312" w:hAnsi="Calibri" w:cs="仿宋_GB2312" w:hint="eastAsia"/>
          <w:sz w:val="32"/>
          <w:szCs w:val="32"/>
          <w:lang w:bidi="ar"/>
        </w:rPr>
      </w:pPr>
    </w:p>
    <w:p w:rsidR="00826768" w:rsidRDefault="00826768">
      <w:pPr>
        <w:spacing w:line="360" w:lineRule="auto"/>
        <w:ind w:firstLine="540"/>
        <w:jc w:val="left"/>
        <w:rPr>
          <w:rFonts w:ascii="仿宋_GB2312" w:eastAsia="仿宋_GB2312" w:hAnsi="Calibri" w:cs="仿宋_GB2312" w:hint="eastAsia"/>
          <w:sz w:val="32"/>
          <w:szCs w:val="32"/>
          <w:lang w:bidi="ar"/>
        </w:rPr>
      </w:pPr>
      <w:bookmarkStart w:id="0" w:name="_GoBack"/>
      <w:bookmarkEnd w:id="0"/>
    </w:p>
    <w:p w:rsidR="007519C7" w:rsidRDefault="002617D3">
      <w:pPr>
        <w:spacing w:line="360" w:lineRule="auto"/>
        <w:ind w:firstLine="5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                            2025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年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月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15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日</w:t>
      </w:r>
    </w:p>
    <w:p w:rsidR="007519C7" w:rsidRDefault="007519C7">
      <w:pPr>
        <w:tabs>
          <w:tab w:val="left" w:pos="1770"/>
        </w:tabs>
        <w:spacing w:line="460" w:lineRule="exact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margin" w:tblpY="316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7519C7">
        <w:trPr>
          <w:trHeight w:val="658"/>
        </w:trPr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9C7" w:rsidRDefault="002617D3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长春开放大学校长办公室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2025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春季学期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网上教学资源建设栏目（参考）</w:t>
      </w:r>
    </w:p>
    <w:p w:rsidR="007519C7" w:rsidRDefault="002617D3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统设课在“长春分部自建资源区”下面建设栏目；非统设选修课直接在课程主页建设栏目。具体栏目如下：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一、课程公告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网上实时教学活动安排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包括时间、活动内容、参加人员等。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在线直播教学（教研）安排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内容包括时间、收看方式、内容、参加人员等。</w:t>
      </w:r>
    </w:p>
    <w:p w:rsidR="007519C7" w:rsidRDefault="002617D3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节日问候语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二、课程导学（非统设选修课建设）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三、教学文件</w:t>
      </w:r>
    </w:p>
    <w:p w:rsidR="007519C7" w:rsidRDefault="002617D3">
      <w:pPr>
        <w:widowControl/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课程教学大纲（非统设选修课完成）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课程说明（选修课完成）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课程考核说明（选修课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完成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教学实施细则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>
        <w:rPr>
          <w:rFonts w:ascii="仿宋" w:eastAsia="仿宋" w:hAnsi="仿宋" w:cs="仿宋_GB2312" w:hint="eastAsia"/>
          <w:sz w:val="32"/>
          <w:szCs w:val="32"/>
        </w:rPr>
        <w:t>课程设计方案（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非统设</w:t>
      </w:r>
      <w:r>
        <w:rPr>
          <w:rFonts w:ascii="仿宋" w:eastAsia="仿宋" w:hAnsi="仿宋" w:cs="仿宋_GB2312" w:hint="eastAsia"/>
          <w:sz w:val="32"/>
          <w:szCs w:val="32"/>
        </w:rPr>
        <w:t>选修课完成）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>
        <w:rPr>
          <w:rFonts w:ascii="仿宋" w:eastAsia="仿宋" w:hAnsi="仿宋" w:cs="仿宋_GB2312" w:hint="eastAsia"/>
          <w:sz w:val="32"/>
          <w:szCs w:val="32"/>
        </w:rPr>
        <w:t>课程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设计</w:t>
      </w:r>
    </w:p>
    <w:p w:rsidR="007519C7" w:rsidRDefault="002617D3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教师介绍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其他关于课程教学内容的说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明</w:t>
      </w:r>
    </w:p>
    <w:p w:rsidR="007519C7" w:rsidRDefault="002617D3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四、网络教学团队（组建网络教学团队课程完成）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网络教学团队教学设计方案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网络教学团队交流区（利用课程讨论区）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网络教学团队工作总结</w:t>
      </w:r>
    </w:p>
    <w:p w:rsidR="007519C7" w:rsidRDefault="002617D3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五、课程讨论区</w:t>
      </w:r>
    </w:p>
    <w:p w:rsidR="007519C7" w:rsidRDefault="002617D3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日常答疑</w:t>
      </w:r>
    </w:p>
    <w:p w:rsidR="007519C7" w:rsidRDefault="002617D3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第一次实时教学活动（教学时间）</w:t>
      </w:r>
    </w:p>
    <w:p w:rsidR="007519C7" w:rsidRDefault="002617D3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第二次实时教学活动（教学时间）</w:t>
      </w:r>
    </w:p>
    <w:p w:rsidR="007519C7" w:rsidRDefault="002617D3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教研活动</w:t>
      </w:r>
    </w:p>
    <w:p w:rsidR="007519C7" w:rsidRDefault="002617D3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六、直播教学</w:t>
      </w:r>
    </w:p>
    <w:p w:rsidR="007519C7" w:rsidRDefault="002617D3">
      <w:pPr>
        <w:widowControl/>
        <w:numPr>
          <w:ilvl w:val="0"/>
          <w:numId w:val="5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</w:t>
      </w:r>
      <w:r>
        <w:rPr>
          <w:rFonts w:ascii="仿宋" w:eastAsia="仿宋" w:hAnsi="仿宋" w:cs="仿宋_GB2312" w:hint="eastAsia"/>
          <w:sz w:val="32"/>
          <w:szCs w:val="32"/>
        </w:rPr>
        <w:t>XX</w:t>
      </w:r>
      <w:r>
        <w:rPr>
          <w:rFonts w:ascii="仿宋" w:eastAsia="仿宋" w:hAnsi="仿宋" w:cs="仿宋_GB2312" w:hint="eastAsia"/>
          <w:sz w:val="32"/>
          <w:szCs w:val="32"/>
        </w:rPr>
        <w:t>》期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初导学</w:t>
      </w:r>
      <w:proofErr w:type="gramEnd"/>
    </w:p>
    <w:p w:rsidR="007519C7" w:rsidRDefault="002617D3">
      <w:pPr>
        <w:widowControl/>
        <w:numPr>
          <w:ilvl w:val="0"/>
          <w:numId w:val="5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</w:t>
      </w:r>
      <w:r>
        <w:rPr>
          <w:rFonts w:ascii="仿宋" w:eastAsia="仿宋" w:hAnsi="仿宋" w:cs="仿宋_GB2312" w:hint="eastAsia"/>
          <w:sz w:val="32"/>
          <w:szCs w:val="32"/>
        </w:rPr>
        <w:t>XX</w:t>
      </w:r>
      <w:r>
        <w:rPr>
          <w:rFonts w:ascii="仿宋" w:eastAsia="仿宋" w:hAnsi="仿宋" w:cs="仿宋_GB2312" w:hint="eastAsia"/>
          <w:sz w:val="32"/>
          <w:szCs w:val="32"/>
        </w:rPr>
        <w:t>》期末复习</w:t>
      </w:r>
    </w:p>
    <w:p w:rsidR="007519C7" w:rsidRDefault="002617D3">
      <w:pPr>
        <w:widowControl/>
        <w:numPr>
          <w:ilvl w:val="0"/>
          <w:numId w:val="5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直播公开课（以公开课题目命名）</w:t>
      </w:r>
    </w:p>
    <w:p w:rsidR="007519C7" w:rsidRDefault="002617D3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七、教学辅导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网上教学活动文本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第二次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7519C7" w:rsidRDefault="002617D3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每章教学辅导（非统设选修课完成，必须满足学生自学需要）</w:t>
      </w:r>
    </w:p>
    <w:p w:rsidR="007519C7" w:rsidRDefault="002617D3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微课程（必须我校教师制作，且符合微课程制作要求）</w:t>
      </w:r>
    </w:p>
    <w:p w:rsidR="007519C7" w:rsidRDefault="002617D3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其他视频资源（非统设选修课每门课程音视频资源及虚拟实验实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训资源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配置不少于课程学时数的三分之一）</w:t>
      </w:r>
    </w:p>
    <w:p w:rsidR="007519C7" w:rsidRDefault="002617D3">
      <w:pPr>
        <w:widowControl/>
        <w:tabs>
          <w:tab w:val="left" w:pos="312"/>
        </w:tabs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kern w:val="0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课程思政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八、形成性考核（选修课完成）</w:t>
      </w:r>
    </w:p>
    <w:p w:rsidR="007519C7" w:rsidRDefault="002617D3">
      <w:pPr>
        <w:widowControl/>
        <w:numPr>
          <w:ilvl w:val="0"/>
          <w:numId w:val="7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形成性考核说明</w:t>
      </w:r>
    </w:p>
    <w:p w:rsidR="007519C7" w:rsidRDefault="002617D3">
      <w:pPr>
        <w:widowControl/>
        <w:numPr>
          <w:ilvl w:val="0"/>
          <w:numId w:val="7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形成性考核试题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九、终结性考核（选修课完成，根据学校选修课文件要求建设）</w:t>
      </w:r>
    </w:p>
    <w:p w:rsidR="007519C7" w:rsidRDefault="002617D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终结性考核试题</w:t>
      </w:r>
    </w:p>
    <w:p w:rsidR="007519C7" w:rsidRDefault="002617D3">
      <w:pPr>
        <w:pStyle w:val="af3"/>
        <w:widowControl/>
        <w:numPr>
          <w:ilvl w:val="0"/>
          <w:numId w:val="8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</w:t>
      </w:r>
    </w:p>
    <w:p w:rsidR="007519C7" w:rsidRDefault="002617D3">
      <w:pPr>
        <w:pStyle w:val="af3"/>
        <w:widowControl/>
        <w:numPr>
          <w:ilvl w:val="0"/>
          <w:numId w:val="9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题等供学生终结性考核复习的学习资源。</w:t>
      </w:r>
    </w:p>
    <w:p w:rsidR="007519C7" w:rsidRDefault="002617D3">
      <w:pPr>
        <w:pStyle w:val="af3"/>
        <w:widowControl/>
        <w:numPr>
          <w:ilvl w:val="0"/>
          <w:numId w:val="9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形成性考核复习题</w:t>
      </w:r>
    </w:p>
    <w:p w:rsidR="007519C7" w:rsidRDefault="002617D3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十一、其他</w:t>
      </w: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</w:p>
    <w:p w:rsidR="00826768" w:rsidRDefault="00826768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</w:p>
    <w:p w:rsidR="00826768" w:rsidRDefault="008267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2617D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春季学期网上实时教学活动一览表</w:t>
      </w:r>
    </w:p>
    <w:tbl>
      <w:tblPr>
        <w:tblpPr w:leftFromText="180" w:rightFromText="180" w:vertAnchor="text" w:horzAnchor="page" w:tblpX="974" w:tblpY="311"/>
        <w:tblOverlap w:val="never"/>
        <w:tblW w:w="10335" w:type="dxa"/>
        <w:tblLook w:val="04A0" w:firstRow="1" w:lastRow="0" w:firstColumn="1" w:lastColumn="0" w:noHBand="0" w:noVBand="1"/>
      </w:tblPr>
      <w:tblGrid>
        <w:gridCol w:w="585"/>
        <w:gridCol w:w="945"/>
        <w:gridCol w:w="1155"/>
        <w:gridCol w:w="705"/>
        <w:gridCol w:w="1575"/>
        <w:gridCol w:w="1155"/>
        <w:gridCol w:w="2460"/>
        <w:gridCol w:w="1755"/>
      </w:tblGrid>
      <w:tr w:rsidR="007519C7">
        <w:trPr>
          <w:trHeight w:val="980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春季学期网上实时教学活动一览表</w:t>
            </w:r>
          </w:p>
        </w:tc>
      </w:tr>
      <w:tr w:rsidR="007519C7">
        <w:trPr>
          <w:trHeight w:val="7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课程所在单位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专业层次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实时教学内容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2617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实时教学时间</w:t>
            </w: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519C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C7" w:rsidRDefault="007519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519C7" w:rsidRDefault="007519C7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7519C7" w:rsidRDefault="007519C7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7519C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D3" w:rsidRDefault="002617D3">
      <w:r>
        <w:separator/>
      </w:r>
    </w:p>
  </w:endnote>
  <w:endnote w:type="continuationSeparator" w:id="0">
    <w:p w:rsidR="002617D3" w:rsidRDefault="0026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69286"/>
    </w:sdtPr>
    <w:sdtEndPr/>
    <w:sdtContent>
      <w:p w:rsidR="007519C7" w:rsidRDefault="002617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768" w:rsidRPr="00826768">
          <w:rPr>
            <w:noProof/>
            <w:lang w:val="zh-CN"/>
          </w:rPr>
          <w:t>10</w:t>
        </w:r>
        <w:r>
          <w:fldChar w:fldCharType="end"/>
        </w:r>
      </w:p>
    </w:sdtContent>
  </w:sdt>
  <w:p w:rsidR="007519C7" w:rsidRDefault="007519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D3" w:rsidRDefault="002617D3">
      <w:r>
        <w:separator/>
      </w:r>
    </w:p>
  </w:footnote>
  <w:footnote w:type="continuationSeparator" w:id="0">
    <w:p w:rsidR="002617D3" w:rsidRDefault="0026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54CA2"/>
    <w:multiLevelType w:val="singleLevel"/>
    <w:tmpl w:val="8C354C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4F1AFD"/>
    <w:multiLevelType w:val="singleLevel"/>
    <w:tmpl w:val="954F1A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AFCBB9"/>
    <w:multiLevelType w:val="singleLevel"/>
    <w:tmpl w:val="C0AFC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CE5619"/>
    <w:multiLevelType w:val="singleLevel"/>
    <w:tmpl w:val="E7CE561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B5F7200"/>
    <w:multiLevelType w:val="singleLevel"/>
    <w:tmpl w:val="0B5F72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BB04A94"/>
    <w:multiLevelType w:val="singleLevel"/>
    <w:tmpl w:val="0BB04A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06492F4"/>
    <w:multiLevelType w:val="singleLevel"/>
    <w:tmpl w:val="206492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E0503FD"/>
    <w:multiLevelType w:val="multilevel"/>
    <w:tmpl w:val="3E0503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CC3A63"/>
    <w:multiLevelType w:val="multilevel"/>
    <w:tmpl w:val="76CC3A63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zAxOTdiZTE4YTJjMTg2NGU0YjMzYWUwZmU3OTEifQ=="/>
  </w:docVars>
  <w:rsids>
    <w:rsidRoot w:val="00D970D1"/>
    <w:rsid w:val="000050D3"/>
    <w:rsid w:val="000057B8"/>
    <w:rsid w:val="00011135"/>
    <w:rsid w:val="00017789"/>
    <w:rsid w:val="00020935"/>
    <w:rsid w:val="00024073"/>
    <w:rsid w:val="00024A29"/>
    <w:rsid w:val="00037514"/>
    <w:rsid w:val="00042F4C"/>
    <w:rsid w:val="000467DB"/>
    <w:rsid w:val="00052268"/>
    <w:rsid w:val="00076490"/>
    <w:rsid w:val="000A1D37"/>
    <w:rsid w:val="000B2100"/>
    <w:rsid w:val="000C23A7"/>
    <w:rsid w:val="000F5C8C"/>
    <w:rsid w:val="000F687C"/>
    <w:rsid w:val="00107931"/>
    <w:rsid w:val="00107FE2"/>
    <w:rsid w:val="0011126B"/>
    <w:rsid w:val="001132C1"/>
    <w:rsid w:val="001136DA"/>
    <w:rsid w:val="0011739C"/>
    <w:rsid w:val="00127752"/>
    <w:rsid w:val="001311A0"/>
    <w:rsid w:val="00131C38"/>
    <w:rsid w:val="001543A9"/>
    <w:rsid w:val="001622FD"/>
    <w:rsid w:val="001777EB"/>
    <w:rsid w:val="00180CFE"/>
    <w:rsid w:val="00192AD6"/>
    <w:rsid w:val="001A5588"/>
    <w:rsid w:val="001B35BF"/>
    <w:rsid w:val="001B70D1"/>
    <w:rsid w:val="001B7F2F"/>
    <w:rsid w:val="001C4187"/>
    <w:rsid w:val="001C4539"/>
    <w:rsid w:val="001C6434"/>
    <w:rsid w:val="001D6911"/>
    <w:rsid w:val="001F2F33"/>
    <w:rsid w:val="00222C31"/>
    <w:rsid w:val="0025238D"/>
    <w:rsid w:val="002617D3"/>
    <w:rsid w:val="00271D20"/>
    <w:rsid w:val="00281BD2"/>
    <w:rsid w:val="00291C31"/>
    <w:rsid w:val="002B08F6"/>
    <w:rsid w:val="002B3C62"/>
    <w:rsid w:val="002B4886"/>
    <w:rsid w:val="002B4981"/>
    <w:rsid w:val="002B75EA"/>
    <w:rsid w:val="002C010E"/>
    <w:rsid w:val="002E1FD4"/>
    <w:rsid w:val="002E3325"/>
    <w:rsid w:val="002F3789"/>
    <w:rsid w:val="002F66C3"/>
    <w:rsid w:val="00302425"/>
    <w:rsid w:val="00306513"/>
    <w:rsid w:val="00317E01"/>
    <w:rsid w:val="00320CB1"/>
    <w:rsid w:val="0033679D"/>
    <w:rsid w:val="00345E67"/>
    <w:rsid w:val="00365F6B"/>
    <w:rsid w:val="0038166B"/>
    <w:rsid w:val="00387B63"/>
    <w:rsid w:val="003968BE"/>
    <w:rsid w:val="003A1C56"/>
    <w:rsid w:val="003A4568"/>
    <w:rsid w:val="003A4AE0"/>
    <w:rsid w:val="003A71CA"/>
    <w:rsid w:val="003B0AE0"/>
    <w:rsid w:val="003B79B7"/>
    <w:rsid w:val="003C0458"/>
    <w:rsid w:val="003C0845"/>
    <w:rsid w:val="003C1AE9"/>
    <w:rsid w:val="003C3AB1"/>
    <w:rsid w:val="003D5D7F"/>
    <w:rsid w:val="003E62E1"/>
    <w:rsid w:val="003F2277"/>
    <w:rsid w:val="003F26DC"/>
    <w:rsid w:val="003F7526"/>
    <w:rsid w:val="003F7A58"/>
    <w:rsid w:val="003F7FA8"/>
    <w:rsid w:val="00402E71"/>
    <w:rsid w:val="0041155A"/>
    <w:rsid w:val="00412334"/>
    <w:rsid w:val="004159DD"/>
    <w:rsid w:val="00430D49"/>
    <w:rsid w:val="00437F6B"/>
    <w:rsid w:val="004449C1"/>
    <w:rsid w:val="0044607E"/>
    <w:rsid w:val="00452103"/>
    <w:rsid w:val="004522B1"/>
    <w:rsid w:val="0045361E"/>
    <w:rsid w:val="00462F17"/>
    <w:rsid w:val="00464E83"/>
    <w:rsid w:val="00467659"/>
    <w:rsid w:val="00477EDC"/>
    <w:rsid w:val="00491FC9"/>
    <w:rsid w:val="00496DEE"/>
    <w:rsid w:val="004A2765"/>
    <w:rsid w:val="004B25CA"/>
    <w:rsid w:val="004B7C06"/>
    <w:rsid w:val="004C21B8"/>
    <w:rsid w:val="004D2471"/>
    <w:rsid w:val="004D588A"/>
    <w:rsid w:val="004F148C"/>
    <w:rsid w:val="004F72E2"/>
    <w:rsid w:val="005044EF"/>
    <w:rsid w:val="00507894"/>
    <w:rsid w:val="00511CA9"/>
    <w:rsid w:val="00516A29"/>
    <w:rsid w:val="00517D5A"/>
    <w:rsid w:val="005356D2"/>
    <w:rsid w:val="005512C6"/>
    <w:rsid w:val="0056474A"/>
    <w:rsid w:val="0056679D"/>
    <w:rsid w:val="00566F1F"/>
    <w:rsid w:val="00574DAC"/>
    <w:rsid w:val="00581574"/>
    <w:rsid w:val="00590F57"/>
    <w:rsid w:val="00591867"/>
    <w:rsid w:val="005A5601"/>
    <w:rsid w:val="005A7715"/>
    <w:rsid w:val="005B3C77"/>
    <w:rsid w:val="005C0666"/>
    <w:rsid w:val="005C4303"/>
    <w:rsid w:val="005D2319"/>
    <w:rsid w:val="005D62E8"/>
    <w:rsid w:val="005F06C4"/>
    <w:rsid w:val="005F22A8"/>
    <w:rsid w:val="005F2EAD"/>
    <w:rsid w:val="00606924"/>
    <w:rsid w:val="00620CA2"/>
    <w:rsid w:val="00633E4C"/>
    <w:rsid w:val="00635DC9"/>
    <w:rsid w:val="00636388"/>
    <w:rsid w:val="00640F65"/>
    <w:rsid w:val="0064198A"/>
    <w:rsid w:val="00641ED4"/>
    <w:rsid w:val="006515EB"/>
    <w:rsid w:val="006724D3"/>
    <w:rsid w:val="00675876"/>
    <w:rsid w:val="006763B4"/>
    <w:rsid w:val="006939E0"/>
    <w:rsid w:val="006A1A1A"/>
    <w:rsid w:val="006A2C3A"/>
    <w:rsid w:val="006B6579"/>
    <w:rsid w:val="006C1FE6"/>
    <w:rsid w:val="006C563A"/>
    <w:rsid w:val="006F48C2"/>
    <w:rsid w:val="006F537A"/>
    <w:rsid w:val="00714BAB"/>
    <w:rsid w:val="00715BE3"/>
    <w:rsid w:val="0072265F"/>
    <w:rsid w:val="00722DE4"/>
    <w:rsid w:val="00725182"/>
    <w:rsid w:val="007256B8"/>
    <w:rsid w:val="007333A6"/>
    <w:rsid w:val="00734819"/>
    <w:rsid w:val="00736989"/>
    <w:rsid w:val="0073741D"/>
    <w:rsid w:val="007417A7"/>
    <w:rsid w:val="00746367"/>
    <w:rsid w:val="007519C7"/>
    <w:rsid w:val="00753DE9"/>
    <w:rsid w:val="007566CF"/>
    <w:rsid w:val="00765A3E"/>
    <w:rsid w:val="0078189A"/>
    <w:rsid w:val="00781E0D"/>
    <w:rsid w:val="00787AFE"/>
    <w:rsid w:val="007A347B"/>
    <w:rsid w:val="007A6A83"/>
    <w:rsid w:val="007A757A"/>
    <w:rsid w:val="007C51BC"/>
    <w:rsid w:val="007D7993"/>
    <w:rsid w:val="007E0CB3"/>
    <w:rsid w:val="007E29E8"/>
    <w:rsid w:val="007F5FB6"/>
    <w:rsid w:val="0081026F"/>
    <w:rsid w:val="00811ABC"/>
    <w:rsid w:val="00826768"/>
    <w:rsid w:val="00850AF9"/>
    <w:rsid w:val="008604AA"/>
    <w:rsid w:val="00884F84"/>
    <w:rsid w:val="00893F9C"/>
    <w:rsid w:val="008A5CA9"/>
    <w:rsid w:val="008B73C2"/>
    <w:rsid w:val="008E0F41"/>
    <w:rsid w:val="008E238B"/>
    <w:rsid w:val="008E4542"/>
    <w:rsid w:val="008E4D14"/>
    <w:rsid w:val="008F363B"/>
    <w:rsid w:val="0090228A"/>
    <w:rsid w:val="00911B42"/>
    <w:rsid w:val="00930D3B"/>
    <w:rsid w:val="00955C48"/>
    <w:rsid w:val="0096000A"/>
    <w:rsid w:val="00960188"/>
    <w:rsid w:val="00970DD7"/>
    <w:rsid w:val="00970E4B"/>
    <w:rsid w:val="009800C5"/>
    <w:rsid w:val="00981734"/>
    <w:rsid w:val="009827AC"/>
    <w:rsid w:val="00984B62"/>
    <w:rsid w:val="00985127"/>
    <w:rsid w:val="00985B81"/>
    <w:rsid w:val="00987C71"/>
    <w:rsid w:val="009B415D"/>
    <w:rsid w:val="009C2734"/>
    <w:rsid w:val="009D134B"/>
    <w:rsid w:val="009D1876"/>
    <w:rsid w:val="009E1981"/>
    <w:rsid w:val="009E4966"/>
    <w:rsid w:val="00A03CA8"/>
    <w:rsid w:val="00A12592"/>
    <w:rsid w:val="00A2096B"/>
    <w:rsid w:val="00A230AA"/>
    <w:rsid w:val="00A273C5"/>
    <w:rsid w:val="00A30648"/>
    <w:rsid w:val="00A338B6"/>
    <w:rsid w:val="00A35B03"/>
    <w:rsid w:val="00A57DF0"/>
    <w:rsid w:val="00A6551C"/>
    <w:rsid w:val="00A90897"/>
    <w:rsid w:val="00A90D71"/>
    <w:rsid w:val="00AA79FE"/>
    <w:rsid w:val="00AD2ECA"/>
    <w:rsid w:val="00AD438C"/>
    <w:rsid w:val="00AD64FD"/>
    <w:rsid w:val="00AE3BAD"/>
    <w:rsid w:val="00AE4975"/>
    <w:rsid w:val="00AE6CBA"/>
    <w:rsid w:val="00AF4004"/>
    <w:rsid w:val="00B05ABA"/>
    <w:rsid w:val="00B0785A"/>
    <w:rsid w:val="00B27179"/>
    <w:rsid w:val="00B312F2"/>
    <w:rsid w:val="00B329DA"/>
    <w:rsid w:val="00B33065"/>
    <w:rsid w:val="00B33541"/>
    <w:rsid w:val="00B338E4"/>
    <w:rsid w:val="00B44739"/>
    <w:rsid w:val="00B463FF"/>
    <w:rsid w:val="00B5443D"/>
    <w:rsid w:val="00B5496E"/>
    <w:rsid w:val="00B54EC3"/>
    <w:rsid w:val="00B56938"/>
    <w:rsid w:val="00B60FDF"/>
    <w:rsid w:val="00B61860"/>
    <w:rsid w:val="00B620E2"/>
    <w:rsid w:val="00B631FE"/>
    <w:rsid w:val="00B65101"/>
    <w:rsid w:val="00B668B7"/>
    <w:rsid w:val="00B70DBA"/>
    <w:rsid w:val="00B7192B"/>
    <w:rsid w:val="00B71A52"/>
    <w:rsid w:val="00B73D8C"/>
    <w:rsid w:val="00B819BC"/>
    <w:rsid w:val="00B87438"/>
    <w:rsid w:val="00BA2048"/>
    <w:rsid w:val="00BB1342"/>
    <w:rsid w:val="00BC2AEB"/>
    <w:rsid w:val="00BC55B8"/>
    <w:rsid w:val="00BC616F"/>
    <w:rsid w:val="00BD3591"/>
    <w:rsid w:val="00BE297D"/>
    <w:rsid w:val="00BF0BB5"/>
    <w:rsid w:val="00BF26EB"/>
    <w:rsid w:val="00BF34B9"/>
    <w:rsid w:val="00C20F88"/>
    <w:rsid w:val="00C249C5"/>
    <w:rsid w:val="00C4252E"/>
    <w:rsid w:val="00C47C1B"/>
    <w:rsid w:val="00C57D95"/>
    <w:rsid w:val="00C6778F"/>
    <w:rsid w:val="00C762E7"/>
    <w:rsid w:val="00C81E52"/>
    <w:rsid w:val="00C94C5F"/>
    <w:rsid w:val="00C97422"/>
    <w:rsid w:val="00CB1D0E"/>
    <w:rsid w:val="00CB3298"/>
    <w:rsid w:val="00CC2310"/>
    <w:rsid w:val="00CC70EA"/>
    <w:rsid w:val="00CD680D"/>
    <w:rsid w:val="00CE060A"/>
    <w:rsid w:val="00CE3979"/>
    <w:rsid w:val="00CE6C90"/>
    <w:rsid w:val="00D0235E"/>
    <w:rsid w:val="00D0417B"/>
    <w:rsid w:val="00D06DF1"/>
    <w:rsid w:val="00D101FA"/>
    <w:rsid w:val="00D13E07"/>
    <w:rsid w:val="00D14E7D"/>
    <w:rsid w:val="00D22FE9"/>
    <w:rsid w:val="00D35A04"/>
    <w:rsid w:val="00D40824"/>
    <w:rsid w:val="00D4275C"/>
    <w:rsid w:val="00D4598A"/>
    <w:rsid w:val="00D54DA2"/>
    <w:rsid w:val="00D65489"/>
    <w:rsid w:val="00D65A1C"/>
    <w:rsid w:val="00D67990"/>
    <w:rsid w:val="00D70D8F"/>
    <w:rsid w:val="00D743E3"/>
    <w:rsid w:val="00D807CE"/>
    <w:rsid w:val="00D82667"/>
    <w:rsid w:val="00D970D1"/>
    <w:rsid w:val="00DA36CB"/>
    <w:rsid w:val="00DF7EA8"/>
    <w:rsid w:val="00E045B9"/>
    <w:rsid w:val="00E2046A"/>
    <w:rsid w:val="00E25ECD"/>
    <w:rsid w:val="00E274DB"/>
    <w:rsid w:val="00E366C2"/>
    <w:rsid w:val="00E42D7D"/>
    <w:rsid w:val="00E57CA5"/>
    <w:rsid w:val="00E72FAF"/>
    <w:rsid w:val="00E75E0C"/>
    <w:rsid w:val="00E81BD6"/>
    <w:rsid w:val="00E82E1D"/>
    <w:rsid w:val="00E87B29"/>
    <w:rsid w:val="00EA233E"/>
    <w:rsid w:val="00EB289A"/>
    <w:rsid w:val="00EB77E7"/>
    <w:rsid w:val="00EC7F1C"/>
    <w:rsid w:val="00ED0B36"/>
    <w:rsid w:val="00ED3CA6"/>
    <w:rsid w:val="00ED421D"/>
    <w:rsid w:val="00ED569E"/>
    <w:rsid w:val="00EE7903"/>
    <w:rsid w:val="00EF7EDE"/>
    <w:rsid w:val="00F0031D"/>
    <w:rsid w:val="00F049B0"/>
    <w:rsid w:val="00F04C61"/>
    <w:rsid w:val="00F1103C"/>
    <w:rsid w:val="00F12EF1"/>
    <w:rsid w:val="00F14203"/>
    <w:rsid w:val="00F16C72"/>
    <w:rsid w:val="00F21310"/>
    <w:rsid w:val="00F240A5"/>
    <w:rsid w:val="00F540CF"/>
    <w:rsid w:val="00F6008B"/>
    <w:rsid w:val="00F63CC8"/>
    <w:rsid w:val="00F725E0"/>
    <w:rsid w:val="00F76807"/>
    <w:rsid w:val="00F822CE"/>
    <w:rsid w:val="00F8248D"/>
    <w:rsid w:val="00FA4876"/>
    <w:rsid w:val="00FA4EE6"/>
    <w:rsid w:val="00FB27C8"/>
    <w:rsid w:val="00FB4696"/>
    <w:rsid w:val="00FC01BD"/>
    <w:rsid w:val="00FE223D"/>
    <w:rsid w:val="00FE7AA6"/>
    <w:rsid w:val="00FF05AD"/>
    <w:rsid w:val="0107438A"/>
    <w:rsid w:val="010E5147"/>
    <w:rsid w:val="01510DA4"/>
    <w:rsid w:val="017F281E"/>
    <w:rsid w:val="027012C0"/>
    <w:rsid w:val="03434ADB"/>
    <w:rsid w:val="037753EA"/>
    <w:rsid w:val="03B5711D"/>
    <w:rsid w:val="03C75421"/>
    <w:rsid w:val="03EB428B"/>
    <w:rsid w:val="03EF39ED"/>
    <w:rsid w:val="0422147B"/>
    <w:rsid w:val="04287B3E"/>
    <w:rsid w:val="04406715"/>
    <w:rsid w:val="049E0421"/>
    <w:rsid w:val="058629A0"/>
    <w:rsid w:val="05901009"/>
    <w:rsid w:val="0598089A"/>
    <w:rsid w:val="05A97F34"/>
    <w:rsid w:val="05B92E3F"/>
    <w:rsid w:val="05DB4947"/>
    <w:rsid w:val="05E70CE6"/>
    <w:rsid w:val="06533545"/>
    <w:rsid w:val="066B6A48"/>
    <w:rsid w:val="06905732"/>
    <w:rsid w:val="06F2324F"/>
    <w:rsid w:val="0712771D"/>
    <w:rsid w:val="073304B3"/>
    <w:rsid w:val="0788179F"/>
    <w:rsid w:val="07C37F57"/>
    <w:rsid w:val="0850567C"/>
    <w:rsid w:val="088C6CF4"/>
    <w:rsid w:val="094600E0"/>
    <w:rsid w:val="09536270"/>
    <w:rsid w:val="095E38C5"/>
    <w:rsid w:val="0A0D5B85"/>
    <w:rsid w:val="0A155509"/>
    <w:rsid w:val="0A434262"/>
    <w:rsid w:val="0A5D1DCF"/>
    <w:rsid w:val="0AA80B74"/>
    <w:rsid w:val="0AF873F6"/>
    <w:rsid w:val="0B3038AB"/>
    <w:rsid w:val="0BA67A9D"/>
    <w:rsid w:val="0BD65D9F"/>
    <w:rsid w:val="0C477E64"/>
    <w:rsid w:val="0C8C5710"/>
    <w:rsid w:val="0CBA4B2A"/>
    <w:rsid w:val="0D284D97"/>
    <w:rsid w:val="0D724199"/>
    <w:rsid w:val="0D7C40CC"/>
    <w:rsid w:val="0DF64520"/>
    <w:rsid w:val="0E897400"/>
    <w:rsid w:val="0EA7787F"/>
    <w:rsid w:val="0F0C65B6"/>
    <w:rsid w:val="0F146F12"/>
    <w:rsid w:val="0F5F4E04"/>
    <w:rsid w:val="0F7C01FE"/>
    <w:rsid w:val="0FE10A2B"/>
    <w:rsid w:val="0FF81596"/>
    <w:rsid w:val="106377BC"/>
    <w:rsid w:val="10D746EA"/>
    <w:rsid w:val="11095F65"/>
    <w:rsid w:val="113B610A"/>
    <w:rsid w:val="114A78CF"/>
    <w:rsid w:val="11B935A1"/>
    <w:rsid w:val="11C1439F"/>
    <w:rsid w:val="11F86FDF"/>
    <w:rsid w:val="122C1EDF"/>
    <w:rsid w:val="123D12CD"/>
    <w:rsid w:val="12A80D88"/>
    <w:rsid w:val="12E1414E"/>
    <w:rsid w:val="13996F61"/>
    <w:rsid w:val="13B81AAA"/>
    <w:rsid w:val="1422737F"/>
    <w:rsid w:val="14661EBB"/>
    <w:rsid w:val="14732DF9"/>
    <w:rsid w:val="14902C08"/>
    <w:rsid w:val="14A16D5C"/>
    <w:rsid w:val="14AE7C6E"/>
    <w:rsid w:val="14B6543B"/>
    <w:rsid w:val="15097A9C"/>
    <w:rsid w:val="153F05D8"/>
    <w:rsid w:val="154B2A83"/>
    <w:rsid w:val="161C2EAD"/>
    <w:rsid w:val="16737EB3"/>
    <w:rsid w:val="16E4754C"/>
    <w:rsid w:val="171B6DC7"/>
    <w:rsid w:val="17602EFE"/>
    <w:rsid w:val="17871D5A"/>
    <w:rsid w:val="18030757"/>
    <w:rsid w:val="18110969"/>
    <w:rsid w:val="18226406"/>
    <w:rsid w:val="182E1B01"/>
    <w:rsid w:val="186C69B4"/>
    <w:rsid w:val="19492CF5"/>
    <w:rsid w:val="197E58C8"/>
    <w:rsid w:val="19824AC5"/>
    <w:rsid w:val="19A1140E"/>
    <w:rsid w:val="19CC60F3"/>
    <w:rsid w:val="1A303819"/>
    <w:rsid w:val="1A442663"/>
    <w:rsid w:val="1B0F6472"/>
    <w:rsid w:val="1B115BBD"/>
    <w:rsid w:val="1B271D31"/>
    <w:rsid w:val="1B97784B"/>
    <w:rsid w:val="1BD61378"/>
    <w:rsid w:val="1BD920DD"/>
    <w:rsid w:val="1CAA3ADA"/>
    <w:rsid w:val="1D60579C"/>
    <w:rsid w:val="1DED67EF"/>
    <w:rsid w:val="1DFF1FDB"/>
    <w:rsid w:val="1E0F5487"/>
    <w:rsid w:val="1E127C76"/>
    <w:rsid w:val="1E13499E"/>
    <w:rsid w:val="1E4B03E0"/>
    <w:rsid w:val="1E551B3C"/>
    <w:rsid w:val="1E9470C9"/>
    <w:rsid w:val="1ED070AB"/>
    <w:rsid w:val="1EF17C51"/>
    <w:rsid w:val="1F02595C"/>
    <w:rsid w:val="1FB57B5F"/>
    <w:rsid w:val="1FF55EA2"/>
    <w:rsid w:val="2045145E"/>
    <w:rsid w:val="20971912"/>
    <w:rsid w:val="20EF2F6C"/>
    <w:rsid w:val="21835A00"/>
    <w:rsid w:val="21866AF9"/>
    <w:rsid w:val="21BE0F4D"/>
    <w:rsid w:val="228F32D0"/>
    <w:rsid w:val="22B027E3"/>
    <w:rsid w:val="22BC7C47"/>
    <w:rsid w:val="22EB3A83"/>
    <w:rsid w:val="23327AAF"/>
    <w:rsid w:val="23D32645"/>
    <w:rsid w:val="23E93063"/>
    <w:rsid w:val="23F23E3D"/>
    <w:rsid w:val="240C51C4"/>
    <w:rsid w:val="24192648"/>
    <w:rsid w:val="2440008B"/>
    <w:rsid w:val="244514B2"/>
    <w:rsid w:val="24E72410"/>
    <w:rsid w:val="25025DC0"/>
    <w:rsid w:val="252B2C90"/>
    <w:rsid w:val="25AB17E9"/>
    <w:rsid w:val="25B73234"/>
    <w:rsid w:val="26D53097"/>
    <w:rsid w:val="26DC3D61"/>
    <w:rsid w:val="26E52AD8"/>
    <w:rsid w:val="27056709"/>
    <w:rsid w:val="27F82CDF"/>
    <w:rsid w:val="287E427F"/>
    <w:rsid w:val="291B46D5"/>
    <w:rsid w:val="29A916E3"/>
    <w:rsid w:val="2A606C09"/>
    <w:rsid w:val="2AC6365B"/>
    <w:rsid w:val="2B3A2791"/>
    <w:rsid w:val="2B9D294A"/>
    <w:rsid w:val="2BAF23C9"/>
    <w:rsid w:val="2BC65B79"/>
    <w:rsid w:val="2BF4598E"/>
    <w:rsid w:val="2C461A11"/>
    <w:rsid w:val="2C5804AE"/>
    <w:rsid w:val="2C681FA3"/>
    <w:rsid w:val="2C8B31CA"/>
    <w:rsid w:val="2CDB30CC"/>
    <w:rsid w:val="2CEE48E0"/>
    <w:rsid w:val="2D4B7CCC"/>
    <w:rsid w:val="2D6E6119"/>
    <w:rsid w:val="2D8B6628"/>
    <w:rsid w:val="2D9F5059"/>
    <w:rsid w:val="2DE37F3D"/>
    <w:rsid w:val="2DE41D3C"/>
    <w:rsid w:val="2EF84184"/>
    <w:rsid w:val="2F5702EB"/>
    <w:rsid w:val="2F702918"/>
    <w:rsid w:val="2F7D33FF"/>
    <w:rsid w:val="2FDE33BA"/>
    <w:rsid w:val="2FE36630"/>
    <w:rsid w:val="2FF334D7"/>
    <w:rsid w:val="2FFD6D27"/>
    <w:rsid w:val="30240C7A"/>
    <w:rsid w:val="30E97F6A"/>
    <w:rsid w:val="30F93D50"/>
    <w:rsid w:val="3111080A"/>
    <w:rsid w:val="311A2D37"/>
    <w:rsid w:val="31FC2750"/>
    <w:rsid w:val="31FF0026"/>
    <w:rsid w:val="32016437"/>
    <w:rsid w:val="329C1708"/>
    <w:rsid w:val="333F19FC"/>
    <w:rsid w:val="335334BF"/>
    <w:rsid w:val="33AF41E3"/>
    <w:rsid w:val="341A5742"/>
    <w:rsid w:val="34784AF1"/>
    <w:rsid w:val="34A24F0E"/>
    <w:rsid w:val="34BA37F6"/>
    <w:rsid w:val="34F13CB6"/>
    <w:rsid w:val="34FA48AE"/>
    <w:rsid w:val="356D712D"/>
    <w:rsid w:val="357F477B"/>
    <w:rsid w:val="35A34588"/>
    <w:rsid w:val="35CA7470"/>
    <w:rsid w:val="35CE501C"/>
    <w:rsid w:val="35F36192"/>
    <w:rsid w:val="36037A14"/>
    <w:rsid w:val="3677681C"/>
    <w:rsid w:val="36876FCF"/>
    <w:rsid w:val="368C4D1E"/>
    <w:rsid w:val="3699568D"/>
    <w:rsid w:val="36FD3049"/>
    <w:rsid w:val="370E2AA6"/>
    <w:rsid w:val="370E5A35"/>
    <w:rsid w:val="372144FF"/>
    <w:rsid w:val="373D4B03"/>
    <w:rsid w:val="373E0DE6"/>
    <w:rsid w:val="37935838"/>
    <w:rsid w:val="37A335A3"/>
    <w:rsid w:val="37C06C0F"/>
    <w:rsid w:val="37D304F0"/>
    <w:rsid w:val="37F66EC7"/>
    <w:rsid w:val="38E41985"/>
    <w:rsid w:val="391F1F77"/>
    <w:rsid w:val="393022D9"/>
    <w:rsid w:val="398B1473"/>
    <w:rsid w:val="39F967A8"/>
    <w:rsid w:val="3A0A5CFF"/>
    <w:rsid w:val="3A2A4F7A"/>
    <w:rsid w:val="3A4F5ACF"/>
    <w:rsid w:val="3A827F7C"/>
    <w:rsid w:val="3AA341AA"/>
    <w:rsid w:val="3AAA4DAB"/>
    <w:rsid w:val="3B595192"/>
    <w:rsid w:val="3B80120B"/>
    <w:rsid w:val="3BB645EB"/>
    <w:rsid w:val="3BBF748A"/>
    <w:rsid w:val="3BC775C8"/>
    <w:rsid w:val="3C326628"/>
    <w:rsid w:val="3CA4110E"/>
    <w:rsid w:val="3CBC20D5"/>
    <w:rsid w:val="3D2F28A7"/>
    <w:rsid w:val="3D764C04"/>
    <w:rsid w:val="3D7F55DD"/>
    <w:rsid w:val="3D8A3E7E"/>
    <w:rsid w:val="3E2C31D0"/>
    <w:rsid w:val="3F316C6E"/>
    <w:rsid w:val="40262709"/>
    <w:rsid w:val="40962463"/>
    <w:rsid w:val="40A2579B"/>
    <w:rsid w:val="40E7446C"/>
    <w:rsid w:val="41215229"/>
    <w:rsid w:val="414C139E"/>
    <w:rsid w:val="41A85672"/>
    <w:rsid w:val="421C6513"/>
    <w:rsid w:val="42203C56"/>
    <w:rsid w:val="425D0216"/>
    <w:rsid w:val="431C5054"/>
    <w:rsid w:val="43445A0C"/>
    <w:rsid w:val="43D01B32"/>
    <w:rsid w:val="44E44647"/>
    <w:rsid w:val="45615ADB"/>
    <w:rsid w:val="4593347B"/>
    <w:rsid w:val="45DC10F2"/>
    <w:rsid w:val="46152B3A"/>
    <w:rsid w:val="4648237B"/>
    <w:rsid w:val="46755BDD"/>
    <w:rsid w:val="47411B55"/>
    <w:rsid w:val="478E31D1"/>
    <w:rsid w:val="47BD70E3"/>
    <w:rsid w:val="480611F6"/>
    <w:rsid w:val="48562B04"/>
    <w:rsid w:val="48653899"/>
    <w:rsid w:val="48893527"/>
    <w:rsid w:val="48C560E9"/>
    <w:rsid w:val="48D82045"/>
    <w:rsid w:val="494C2188"/>
    <w:rsid w:val="49970BC0"/>
    <w:rsid w:val="4A1564ED"/>
    <w:rsid w:val="4A68562D"/>
    <w:rsid w:val="4A8A0874"/>
    <w:rsid w:val="4B570ABF"/>
    <w:rsid w:val="4C1345BC"/>
    <w:rsid w:val="4CB765EA"/>
    <w:rsid w:val="4CB930F2"/>
    <w:rsid w:val="4D031280"/>
    <w:rsid w:val="4D754D77"/>
    <w:rsid w:val="4D897937"/>
    <w:rsid w:val="4DD667BF"/>
    <w:rsid w:val="4E2030DC"/>
    <w:rsid w:val="4E213CAD"/>
    <w:rsid w:val="4E4F4E62"/>
    <w:rsid w:val="4E63010F"/>
    <w:rsid w:val="4E984929"/>
    <w:rsid w:val="4EB8690C"/>
    <w:rsid w:val="4EBC523B"/>
    <w:rsid w:val="4EEC684A"/>
    <w:rsid w:val="4F1642FF"/>
    <w:rsid w:val="4F3D478B"/>
    <w:rsid w:val="4F6C1739"/>
    <w:rsid w:val="4FC51E01"/>
    <w:rsid w:val="503663AA"/>
    <w:rsid w:val="5040259D"/>
    <w:rsid w:val="505D5AC7"/>
    <w:rsid w:val="50873987"/>
    <w:rsid w:val="50BA2C06"/>
    <w:rsid w:val="50DB0624"/>
    <w:rsid w:val="514A36B7"/>
    <w:rsid w:val="519F6A46"/>
    <w:rsid w:val="52072875"/>
    <w:rsid w:val="520E4D2A"/>
    <w:rsid w:val="522A71F8"/>
    <w:rsid w:val="522E717A"/>
    <w:rsid w:val="524C6B4A"/>
    <w:rsid w:val="52530B28"/>
    <w:rsid w:val="526020FE"/>
    <w:rsid w:val="52605BCC"/>
    <w:rsid w:val="526E37A9"/>
    <w:rsid w:val="52E33152"/>
    <w:rsid w:val="536A3A3E"/>
    <w:rsid w:val="53BD45FE"/>
    <w:rsid w:val="54B95C30"/>
    <w:rsid w:val="54D337FE"/>
    <w:rsid w:val="5538448B"/>
    <w:rsid w:val="558C6691"/>
    <w:rsid w:val="55AD3075"/>
    <w:rsid w:val="55FC330F"/>
    <w:rsid w:val="55FD276D"/>
    <w:rsid w:val="56680EAC"/>
    <w:rsid w:val="56AA166C"/>
    <w:rsid w:val="56BE28A3"/>
    <w:rsid w:val="573B21E9"/>
    <w:rsid w:val="58055C63"/>
    <w:rsid w:val="58A83539"/>
    <w:rsid w:val="59104094"/>
    <w:rsid w:val="5A0238CE"/>
    <w:rsid w:val="5A7D5097"/>
    <w:rsid w:val="5A917C71"/>
    <w:rsid w:val="5A9950A5"/>
    <w:rsid w:val="5B5F03F5"/>
    <w:rsid w:val="5B60283D"/>
    <w:rsid w:val="5B681134"/>
    <w:rsid w:val="5BD141E6"/>
    <w:rsid w:val="5C311D40"/>
    <w:rsid w:val="5C321228"/>
    <w:rsid w:val="5C937E1A"/>
    <w:rsid w:val="5CD3363D"/>
    <w:rsid w:val="5D011713"/>
    <w:rsid w:val="5D2A0335"/>
    <w:rsid w:val="5D576904"/>
    <w:rsid w:val="5D700323"/>
    <w:rsid w:val="5DA57426"/>
    <w:rsid w:val="5DAF67CF"/>
    <w:rsid w:val="5E671304"/>
    <w:rsid w:val="5EF601A1"/>
    <w:rsid w:val="5F153397"/>
    <w:rsid w:val="5F367D58"/>
    <w:rsid w:val="5F622211"/>
    <w:rsid w:val="5F85505B"/>
    <w:rsid w:val="609B5E0A"/>
    <w:rsid w:val="61532D8A"/>
    <w:rsid w:val="622D4D58"/>
    <w:rsid w:val="6248636E"/>
    <w:rsid w:val="626D5C88"/>
    <w:rsid w:val="62706279"/>
    <w:rsid w:val="628F0114"/>
    <w:rsid w:val="62A65FD4"/>
    <w:rsid w:val="62B97334"/>
    <w:rsid w:val="62EA3289"/>
    <w:rsid w:val="632E6C79"/>
    <w:rsid w:val="633B0C3B"/>
    <w:rsid w:val="635D166D"/>
    <w:rsid w:val="63A2331E"/>
    <w:rsid w:val="64385130"/>
    <w:rsid w:val="643E4A7E"/>
    <w:rsid w:val="64401CD3"/>
    <w:rsid w:val="652F073F"/>
    <w:rsid w:val="654E042C"/>
    <w:rsid w:val="655A05B5"/>
    <w:rsid w:val="65756222"/>
    <w:rsid w:val="65B804D7"/>
    <w:rsid w:val="666A039F"/>
    <w:rsid w:val="66794933"/>
    <w:rsid w:val="668D7D10"/>
    <w:rsid w:val="66E821C6"/>
    <w:rsid w:val="671F0AF1"/>
    <w:rsid w:val="67270645"/>
    <w:rsid w:val="674A172E"/>
    <w:rsid w:val="674A2A18"/>
    <w:rsid w:val="675E1BE3"/>
    <w:rsid w:val="67DF7D0E"/>
    <w:rsid w:val="6848725E"/>
    <w:rsid w:val="68F228CB"/>
    <w:rsid w:val="69390F5D"/>
    <w:rsid w:val="69992312"/>
    <w:rsid w:val="69A55BB9"/>
    <w:rsid w:val="6A083105"/>
    <w:rsid w:val="6AE045DB"/>
    <w:rsid w:val="6AEE41CC"/>
    <w:rsid w:val="6BBD3469"/>
    <w:rsid w:val="6BC46681"/>
    <w:rsid w:val="6CA65602"/>
    <w:rsid w:val="6D806DD1"/>
    <w:rsid w:val="6EB505AF"/>
    <w:rsid w:val="6EBA6FC0"/>
    <w:rsid w:val="6F387F72"/>
    <w:rsid w:val="6FB645DF"/>
    <w:rsid w:val="70705355"/>
    <w:rsid w:val="70892F72"/>
    <w:rsid w:val="70D13464"/>
    <w:rsid w:val="72170F4C"/>
    <w:rsid w:val="722546C9"/>
    <w:rsid w:val="7232455E"/>
    <w:rsid w:val="725147EC"/>
    <w:rsid w:val="72D750DC"/>
    <w:rsid w:val="73130ECA"/>
    <w:rsid w:val="7332655A"/>
    <w:rsid w:val="735D36AB"/>
    <w:rsid w:val="73D54AFF"/>
    <w:rsid w:val="74000A27"/>
    <w:rsid w:val="742659D7"/>
    <w:rsid w:val="74754B02"/>
    <w:rsid w:val="74C7605B"/>
    <w:rsid w:val="74D20498"/>
    <w:rsid w:val="75045DEC"/>
    <w:rsid w:val="753A55C7"/>
    <w:rsid w:val="75543966"/>
    <w:rsid w:val="76066971"/>
    <w:rsid w:val="762F6E99"/>
    <w:rsid w:val="763258F9"/>
    <w:rsid w:val="76535AED"/>
    <w:rsid w:val="771710F7"/>
    <w:rsid w:val="77225B7F"/>
    <w:rsid w:val="77462AD5"/>
    <w:rsid w:val="776E0D30"/>
    <w:rsid w:val="77847445"/>
    <w:rsid w:val="77C47AB5"/>
    <w:rsid w:val="78936733"/>
    <w:rsid w:val="78A31478"/>
    <w:rsid w:val="78BF5E3E"/>
    <w:rsid w:val="78C0027C"/>
    <w:rsid w:val="78D5743B"/>
    <w:rsid w:val="78F82F1B"/>
    <w:rsid w:val="7983146D"/>
    <w:rsid w:val="799C41D3"/>
    <w:rsid w:val="79D7762B"/>
    <w:rsid w:val="7A2F40FD"/>
    <w:rsid w:val="7A4A0A94"/>
    <w:rsid w:val="7A812A96"/>
    <w:rsid w:val="7ACD34C8"/>
    <w:rsid w:val="7AFC1FBE"/>
    <w:rsid w:val="7B032CDB"/>
    <w:rsid w:val="7B97056F"/>
    <w:rsid w:val="7BA75723"/>
    <w:rsid w:val="7BED2FFE"/>
    <w:rsid w:val="7C137256"/>
    <w:rsid w:val="7CA22181"/>
    <w:rsid w:val="7D20578D"/>
    <w:rsid w:val="7D6D72F6"/>
    <w:rsid w:val="7DCD6B6E"/>
    <w:rsid w:val="7DE510FC"/>
    <w:rsid w:val="7DF602D5"/>
    <w:rsid w:val="7E3B6213"/>
    <w:rsid w:val="7E9175D5"/>
    <w:rsid w:val="7ECE3F88"/>
    <w:rsid w:val="7EFA0228"/>
    <w:rsid w:val="7F29742C"/>
    <w:rsid w:val="7F573E38"/>
    <w:rsid w:val="7F5C2221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jc w:val="left"/>
    </w:pPr>
  </w:style>
  <w:style w:type="paragraph" w:styleId="a6">
    <w:name w:val="Body Text"/>
    <w:basedOn w:val="a"/>
    <w:link w:val="Char1"/>
    <w:qFormat/>
    <w:pPr>
      <w:spacing w:line="440" w:lineRule="atLeast"/>
    </w:pPr>
    <w:rPr>
      <w:rFonts w:ascii="仿宋_GB2312" w:eastAsia="仿宋_GB2312"/>
      <w:kern w:val="0"/>
      <w:sz w:val="32"/>
      <w:szCs w:val="20"/>
    </w:rPr>
  </w:style>
  <w:style w:type="paragraph" w:styleId="a7">
    <w:name w:val="Body Text Indent"/>
    <w:basedOn w:val="a"/>
    <w:link w:val="Char2"/>
    <w:qFormat/>
    <w:pPr>
      <w:spacing w:line="400" w:lineRule="exact"/>
      <w:ind w:firstLineChars="200" w:firstLine="480"/>
    </w:pPr>
    <w:rPr>
      <w:sz w:val="24"/>
      <w:szCs w:val="24"/>
    </w:rPr>
  </w:style>
  <w:style w:type="paragraph" w:styleId="a8">
    <w:name w:val="Date"/>
    <w:basedOn w:val="a"/>
    <w:next w:val="a"/>
    <w:link w:val="Char3"/>
    <w:qFormat/>
    <w:pPr>
      <w:widowControl/>
    </w:pPr>
    <w:rPr>
      <w:rFonts w:eastAsia="楷体_GB2312"/>
      <w:kern w:val="0"/>
      <w:sz w:val="28"/>
      <w:szCs w:val="20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5"/>
    <w:next w:val="a5"/>
    <w:link w:val="Char7"/>
    <w:qFormat/>
    <w:rPr>
      <w:b/>
      <w:bCs/>
    </w:rPr>
  </w:style>
  <w:style w:type="table" w:styleId="ae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Char">
    <w:name w:val="文档结构图 Char"/>
    <w:basedOn w:val="a0"/>
    <w:link w:val="a4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5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正文文本 Char"/>
    <w:basedOn w:val="a0"/>
    <w:link w:val="a6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日期 Char"/>
    <w:basedOn w:val="a0"/>
    <w:link w:val="a8"/>
    <w:qFormat/>
    <w:rPr>
      <w:rFonts w:ascii="Times New Roman" w:eastAsia="楷体_GB2312" w:hAnsi="Times New Roman" w:cs="Times New Roman"/>
      <w:kern w:val="0"/>
      <w:sz w:val="28"/>
      <w:szCs w:val="20"/>
    </w:rPr>
  </w:style>
  <w:style w:type="character" w:customStyle="1" w:styleId="Char4">
    <w:name w:val="批注框文本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主题 Char"/>
    <w:basedOn w:val="Char0"/>
    <w:link w:val="ad"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0">
    <w:name w:val="文档结构图 Char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font121">
    <w:name w:val="font121"/>
    <w:qFormat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21">
    <w:name w:val="font221"/>
    <w:qFormat/>
    <w:rPr>
      <w:rFonts w:ascii="等线" w:eastAsia="等线" w:hAnsi="等线" w:cs="等线"/>
      <w:color w:val="000000"/>
      <w:sz w:val="22"/>
      <w:szCs w:val="22"/>
      <w:u w:val="none"/>
    </w:rPr>
  </w:style>
  <w:style w:type="character" w:customStyle="1" w:styleId="Char11">
    <w:name w:val="批注主题 Char1"/>
    <w:uiPriority w:val="99"/>
    <w:semiHidden/>
    <w:qFormat/>
    <w:rPr>
      <w:b/>
      <w:bCs/>
      <w:kern w:val="2"/>
      <w:sz w:val="21"/>
      <w:szCs w:val="21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2">
    <w:name w:val="批注文字 Char1"/>
    <w:uiPriority w:val="99"/>
    <w:semiHidden/>
    <w:qFormat/>
    <w:rPr>
      <w:kern w:val="2"/>
      <w:sz w:val="21"/>
      <w:szCs w:val="21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3">
    <w:name w:val="页脚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宋体"/>
      <w:color w:val="000000"/>
      <w:kern w:val="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14">
    <w:name w:val="日期 Char1"/>
    <w:basedOn w:val="a0"/>
    <w:uiPriority w:val="99"/>
    <w:semiHidden/>
    <w:qFormat/>
    <w:rPr>
      <w:kern w:val="2"/>
      <w:sz w:val="21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Char16">
    <w:name w:val="正文文本缩进 Char1"/>
    <w:basedOn w:val="a0"/>
    <w:uiPriority w:val="99"/>
    <w:qFormat/>
    <w:rPr>
      <w:kern w:val="2"/>
      <w:sz w:val="21"/>
      <w:szCs w:val="21"/>
    </w:rPr>
  </w:style>
  <w:style w:type="character" w:customStyle="1" w:styleId="Char17">
    <w:name w:val="批注框文本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har8">
    <w:name w:val="Char"/>
    <w:basedOn w:val="a"/>
    <w:qFormat/>
    <w:rPr>
      <w:rFonts w:ascii="Tahoma" w:hAnsi="Tahoma"/>
      <w:sz w:val="24"/>
      <w:szCs w:val="20"/>
    </w:rPr>
  </w:style>
  <w:style w:type="character" w:customStyle="1" w:styleId="Char18">
    <w:name w:val="正文文本 Char1"/>
    <w:basedOn w:val="a0"/>
    <w:uiPriority w:val="99"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20">
    <w:name w:val="文档结构图 Char2"/>
    <w:basedOn w:val="a0"/>
    <w:uiPriority w:val="99"/>
    <w:qFormat/>
    <w:rPr>
      <w:rFonts w:ascii="Microsoft YaHei UI" w:eastAsia="Microsoft YaHei UI"/>
      <w:kern w:val="2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1">
    <w:name w:val="批注文字 Char2"/>
    <w:basedOn w:val="a0"/>
    <w:uiPriority w:val="99"/>
    <w:semiHidden/>
    <w:qFormat/>
    <w:rPr>
      <w:kern w:val="2"/>
      <w:sz w:val="21"/>
      <w:szCs w:val="21"/>
    </w:rPr>
  </w:style>
  <w:style w:type="character" w:customStyle="1" w:styleId="Char22">
    <w:name w:val="批注主题 Char2"/>
    <w:basedOn w:val="Char21"/>
    <w:uiPriority w:val="99"/>
    <w:semiHidden/>
    <w:qFormat/>
    <w:rPr>
      <w:b/>
      <w:bCs/>
      <w:kern w:val="2"/>
      <w:sz w:val="21"/>
      <w:szCs w:val="21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-31">
    <w:name w:val="深色列表 - 强调文字颜色 31"/>
    <w:uiPriority w:val="99"/>
    <w:semiHidden/>
    <w:qFormat/>
    <w:rPr>
      <w:kern w:val="2"/>
      <w:sz w:val="21"/>
      <w:szCs w:val="24"/>
    </w:rPr>
  </w:style>
  <w:style w:type="paragraph" w:customStyle="1" w:styleId="Char1CharCharChar">
    <w:name w:val="Char1 Char Char Char"/>
    <w:basedOn w:val="a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310">
    <w:name w:val="彩色底纹 - 强调文字颜色 3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63">
    <w:name w:val="xl63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jc w:val="left"/>
    </w:pPr>
  </w:style>
  <w:style w:type="paragraph" w:styleId="a6">
    <w:name w:val="Body Text"/>
    <w:basedOn w:val="a"/>
    <w:link w:val="Char1"/>
    <w:qFormat/>
    <w:pPr>
      <w:spacing w:line="440" w:lineRule="atLeast"/>
    </w:pPr>
    <w:rPr>
      <w:rFonts w:ascii="仿宋_GB2312" w:eastAsia="仿宋_GB2312"/>
      <w:kern w:val="0"/>
      <w:sz w:val="32"/>
      <w:szCs w:val="20"/>
    </w:rPr>
  </w:style>
  <w:style w:type="paragraph" w:styleId="a7">
    <w:name w:val="Body Text Indent"/>
    <w:basedOn w:val="a"/>
    <w:link w:val="Char2"/>
    <w:qFormat/>
    <w:pPr>
      <w:spacing w:line="400" w:lineRule="exact"/>
      <w:ind w:firstLineChars="200" w:firstLine="480"/>
    </w:pPr>
    <w:rPr>
      <w:sz w:val="24"/>
      <w:szCs w:val="24"/>
    </w:rPr>
  </w:style>
  <w:style w:type="paragraph" w:styleId="a8">
    <w:name w:val="Date"/>
    <w:basedOn w:val="a"/>
    <w:next w:val="a"/>
    <w:link w:val="Char3"/>
    <w:qFormat/>
    <w:pPr>
      <w:widowControl/>
    </w:pPr>
    <w:rPr>
      <w:rFonts w:eastAsia="楷体_GB2312"/>
      <w:kern w:val="0"/>
      <w:sz w:val="28"/>
      <w:szCs w:val="20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5"/>
    <w:next w:val="a5"/>
    <w:link w:val="Char7"/>
    <w:qFormat/>
    <w:rPr>
      <w:b/>
      <w:bCs/>
    </w:rPr>
  </w:style>
  <w:style w:type="table" w:styleId="ae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Char">
    <w:name w:val="文档结构图 Char"/>
    <w:basedOn w:val="a0"/>
    <w:link w:val="a4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5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正文文本 Char"/>
    <w:basedOn w:val="a0"/>
    <w:link w:val="a6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日期 Char"/>
    <w:basedOn w:val="a0"/>
    <w:link w:val="a8"/>
    <w:qFormat/>
    <w:rPr>
      <w:rFonts w:ascii="Times New Roman" w:eastAsia="楷体_GB2312" w:hAnsi="Times New Roman" w:cs="Times New Roman"/>
      <w:kern w:val="0"/>
      <w:sz w:val="28"/>
      <w:szCs w:val="20"/>
    </w:rPr>
  </w:style>
  <w:style w:type="character" w:customStyle="1" w:styleId="Char4">
    <w:name w:val="批注框文本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主题 Char"/>
    <w:basedOn w:val="Char0"/>
    <w:link w:val="ad"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0">
    <w:name w:val="文档结构图 Char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font121">
    <w:name w:val="font121"/>
    <w:qFormat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21">
    <w:name w:val="font221"/>
    <w:qFormat/>
    <w:rPr>
      <w:rFonts w:ascii="等线" w:eastAsia="等线" w:hAnsi="等线" w:cs="等线"/>
      <w:color w:val="000000"/>
      <w:sz w:val="22"/>
      <w:szCs w:val="22"/>
      <w:u w:val="none"/>
    </w:rPr>
  </w:style>
  <w:style w:type="character" w:customStyle="1" w:styleId="Char11">
    <w:name w:val="批注主题 Char1"/>
    <w:uiPriority w:val="99"/>
    <w:semiHidden/>
    <w:qFormat/>
    <w:rPr>
      <w:b/>
      <w:bCs/>
      <w:kern w:val="2"/>
      <w:sz w:val="21"/>
      <w:szCs w:val="21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2">
    <w:name w:val="批注文字 Char1"/>
    <w:uiPriority w:val="99"/>
    <w:semiHidden/>
    <w:qFormat/>
    <w:rPr>
      <w:kern w:val="2"/>
      <w:sz w:val="21"/>
      <w:szCs w:val="21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3">
    <w:name w:val="页脚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宋体"/>
      <w:color w:val="000000"/>
      <w:kern w:val="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14">
    <w:name w:val="日期 Char1"/>
    <w:basedOn w:val="a0"/>
    <w:uiPriority w:val="99"/>
    <w:semiHidden/>
    <w:qFormat/>
    <w:rPr>
      <w:kern w:val="2"/>
      <w:sz w:val="21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Char16">
    <w:name w:val="正文文本缩进 Char1"/>
    <w:basedOn w:val="a0"/>
    <w:uiPriority w:val="99"/>
    <w:qFormat/>
    <w:rPr>
      <w:kern w:val="2"/>
      <w:sz w:val="21"/>
      <w:szCs w:val="21"/>
    </w:rPr>
  </w:style>
  <w:style w:type="character" w:customStyle="1" w:styleId="Char17">
    <w:name w:val="批注框文本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har8">
    <w:name w:val="Char"/>
    <w:basedOn w:val="a"/>
    <w:qFormat/>
    <w:rPr>
      <w:rFonts w:ascii="Tahoma" w:hAnsi="Tahoma"/>
      <w:sz w:val="24"/>
      <w:szCs w:val="20"/>
    </w:rPr>
  </w:style>
  <w:style w:type="character" w:customStyle="1" w:styleId="Char18">
    <w:name w:val="正文文本 Char1"/>
    <w:basedOn w:val="a0"/>
    <w:uiPriority w:val="99"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20">
    <w:name w:val="文档结构图 Char2"/>
    <w:basedOn w:val="a0"/>
    <w:uiPriority w:val="99"/>
    <w:qFormat/>
    <w:rPr>
      <w:rFonts w:ascii="Microsoft YaHei UI" w:eastAsia="Microsoft YaHei UI"/>
      <w:kern w:val="2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1">
    <w:name w:val="批注文字 Char2"/>
    <w:basedOn w:val="a0"/>
    <w:uiPriority w:val="99"/>
    <w:semiHidden/>
    <w:qFormat/>
    <w:rPr>
      <w:kern w:val="2"/>
      <w:sz w:val="21"/>
      <w:szCs w:val="21"/>
    </w:rPr>
  </w:style>
  <w:style w:type="character" w:customStyle="1" w:styleId="Char22">
    <w:name w:val="批注主题 Char2"/>
    <w:basedOn w:val="Char21"/>
    <w:uiPriority w:val="99"/>
    <w:semiHidden/>
    <w:qFormat/>
    <w:rPr>
      <w:b/>
      <w:bCs/>
      <w:kern w:val="2"/>
      <w:sz w:val="21"/>
      <w:szCs w:val="21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-31">
    <w:name w:val="深色列表 - 强调文字颜色 31"/>
    <w:uiPriority w:val="99"/>
    <w:semiHidden/>
    <w:qFormat/>
    <w:rPr>
      <w:kern w:val="2"/>
      <w:sz w:val="21"/>
      <w:szCs w:val="24"/>
    </w:rPr>
  </w:style>
  <w:style w:type="paragraph" w:customStyle="1" w:styleId="Char1CharCharChar">
    <w:name w:val="Char1 Char Char Char"/>
    <w:basedOn w:val="a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310">
    <w:name w:val="彩色底纹 - 强调文字颜色 3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63">
    <w:name w:val="xl63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B6E76-3C58-47E7-822D-60005B87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程千</dc:creator>
  <cp:lastModifiedBy>l</cp:lastModifiedBy>
  <cp:revision>41</cp:revision>
  <cp:lastPrinted>2022-01-11T01:49:00Z</cp:lastPrinted>
  <dcterms:created xsi:type="dcterms:W3CDTF">2022-01-12T15:01:00Z</dcterms:created>
  <dcterms:modified xsi:type="dcterms:W3CDTF">2025-03-09T01:11:00Z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6F3D66AED88A44B4BCE6583AE8061E53_13</vt:lpwstr>
  </property>
  <property fmtid="{D5CDD505-2E9C-101B-9397-08002B2CF9AE}" pid="4" name="KSOTemplateDocerSaveRecord">
    <vt:lpwstr>eyJoZGlkIjoiMTZlMmUzYjE5YzZkOWU5MmVkYzk3ZGZmMGYzNGVmNGQiLCJ1c2VySWQiOiIxMTIxNjEyMjg3In0=</vt:lpwstr>
  </property>
</Properties>
</file>