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A6FFF0">
      <w:pPr>
        <w:pStyle w:val="2"/>
        <w:keepNext w:val="0"/>
        <w:keepLines w:val="0"/>
        <w:pageBreakBefore w:val="0"/>
        <w:widowControl/>
        <w:suppressLineNumbers w:val="0"/>
        <w:shd w:val="clear" w:fill="FFFFFF"/>
        <w:kinsoku w:val="0"/>
        <w:wordWrap/>
        <w:overflowPunct/>
        <w:topLinePunct w:val="0"/>
        <w:autoSpaceDE w:val="0"/>
        <w:autoSpaceDN w:val="0"/>
        <w:bidi w:val="0"/>
        <w:adjustRightInd w:val="0"/>
        <w:snapToGrid w:val="0"/>
        <w:spacing w:beforeAutospacing="0" w:afterAutospacing="0" w:line="560" w:lineRule="exact"/>
        <w:ind w:left="0" w:firstLine="0"/>
        <w:jc w:val="center"/>
        <w:textAlignment w:val="baseline"/>
        <w:rPr>
          <w:rStyle w:val="5"/>
          <w:rFonts w:hint="eastAsia" w:ascii="方正小标宋简体" w:hAnsi="方正小标宋简体" w:eastAsia="方正小标宋简体" w:cs="方正小标宋简体"/>
          <w:i w:val="0"/>
          <w:iCs w:val="0"/>
          <w:caps w:val="0"/>
          <w:color w:val="auto"/>
          <w:spacing w:val="0"/>
          <w:sz w:val="36"/>
          <w:szCs w:val="36"/>
          <w:shd w:val="clear" w:fill="FFFFFF"/>
          <w:lang w:val="en-US" w:eastAsia="zh-CN"/>
        </w:rPr>
      </w:pPr>
      <w:r>
        <w:rPr>
          <w:rStyle w:val="5"/>
          <w:rFonts w:hint="eastAsia" w:ascii="方正小标宋简体" w:hAnsi="方正小标宋简体" w:eastAsia="方正小标宋简体" w:cs="方正小标宋简体"/>
          <w:i w:val="0"/>
          <w:iCs w:val="0"/>
          <w:caps w:val="0"/>
          <w:color w:val="auto"/>
          <w:spacing w:val="0"/>
          <w:sz w:val="36"/>
          <w:szCs w:val="36"/>
          <w:shd w:val="clear" w:fill="FFFFFF"/>
          <w:lang w:val="en-US" w:eastAsia="zh-CN"/>
        </w:rPr>
        <w:t>转发《</w:t>
      </w:r>
      <w:r>
        <w:rPr>
          <w:rStyle w:val="5"/>
          <w:rFonts w:hint="eastAsia" w:ascii="方正小标宋简体" w:hAnsi="方正小标宋简体" w:eastAsia="方正小标宋简体" w:cs="方正小标宋简体"/>
          <w:i w:val="0"/>
          <w:iCs w:val="0"/>
          <w:caps w:val="0"/>
          <w:color w:val="auto"/>
          <w:spacing w:val="0"/>
          <w:sz w:val="36"/>
          <w:szCs w:val="36"/>
          <w:shd w:val="clear" w:fill="FFFFFF"/>
        </w:rPr>
        <w:t>2025年度全国教育科学规划终身教育体系研究专项申报公告</w:t>
      </w:r>
      <w:r>
        <w:rPr>
          <w:rStyle w:val="5"/>
          <w:rFonts w:hint="eastAsia" w:ascii="方正小标宋简体" w:hAnsi="方正小标宋简体" w:eastAsia="方正小标宋简体" w:cs="方正小标宋简体"/>
          <w:i w:val="0"/>
          <w:iCs w:val="0"/>
          <w:caps w:val="0"/>
          <w:color w:val="auto"/>
          <w:spacing w:val="0"/>
          <w:sz w:val="36"/>
          <w:szCs w:val="36"/>
          <w:shd w:val="clear" w:fill="FFFFFF"/>
          <w:lang w:val="en-US" w:eastAsia="zh-CN"/>
        </w:rPr>
        <w:t>》</w:t>
      </w:r>
    </w:p>
    <w:p w14:paraId="52766F73">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jc w:val="left"/>
        <w:textAlignment w:val="baseline"/>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t>各分校、学习中心、全体教师：</w:t>
      </w:r>
    </w:p>
    <w:p w14:paraId="62344E27">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firstLine="640" w:firstLineChars="200"/>
        <w:jc w:val="left"/>
        <w:textAlignment w:val="baseline"/>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t>我校现组织申报“2025年度全国教育科学规划终身教育</w:t>
      </w: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t>体系研究专项课题”。</w:t>
      </w:r>
    </w:p>
    <w:p w14:paraId="65F211EB">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firstLine="640" w:firstLineChars="200"/>
        <w:jc w:val="left"/>
        <w:textAlignment w:val="baseline"/>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t>本次课题申报工作采取在线申报方式。请申报人严格按照《2025年度全国教育科学规划终身教育体系研究专项申报公告》文件要求，</w:t>
      </w:r>
      <w:bookmarkStart w:id="0" w:name="_GoBack"/>
      <w:bookmarkEnd w:id="0"/>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t>在“全国教育科学规划管理平台”（</w:t>
      </w: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instrText xml:space="preserve"> HYPERLINK "https://202.205.185.227/" </w:instrText>
      </w: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fldChar w:fldCharType="separate"/>
      </w: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t>https://202.205.185.227/</w:t>
      </w: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t xml:space="preserve">）中的“项目申报系统”进行注册登记及相关信息录入。纸质申报材料提交时间截止至2025年5月23日，平台申报截止至5月29日。请按照我校课题申报要求上报。     </w:t>
      </w:r>
    </w:p>
    <w:p w14:paraId="109C3D49">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firstLine="640" w:firstLineChars="200"/>
        <w:jc w:val="left"/>
        <w:textAlignment w:val="baseline"/>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t xml:space="preserve">联系人：温薇迪 </w:t>
      </w:r>
    </w:p>
    <w:p w14:paraId="2BC7D0CC">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firstLine="640" w:firstLineChars="200"/>
        <w:jc w:val="left"/>
        <w:textAlignment w:val="baseline"/>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t xml:space="preserve">联系电话：15500055591       </w:t>
      </w:r>
    </w:p>
    <w:p w14:paraId="1EB285E2">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firstLine="640" w:firstLineChars="200"/>
        <w:jc w:val="left"/>
        <w:textAlignment w:val="baseline"/>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pPr>
    </w:p>
    <w:p w14:paraId="43064F47">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firstLine="640" w:firstLineChars="200"/>
        <w:jc w:val="left"/>
        <w:textAlignment w:val="baseline"/>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t xml:space="preserve">                             教务科研处  </w:t>
      </w:r>
    </w:p>
    <w:p w14:paraId="19D5D264">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firstLine="640" w:firstLineChars="200"/>
        <w:jc w:val="left"/>
        <w:textAlignment w:val="baseline"/>
        <w:rPr>
          <w:rFonts w:hint="default"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t xml:space="preserve">                            2025年4月27日</w:t>
      </w:r>
    </w:p>
    <w:p w14:paraId="069E82AA">
      <w:pPr>
        <w:pStyle w:val="2"/>
        <w:keepNext w:val="0"/>
        <w:keepLines w:val="0"/>
        <w:widowControl/>
        <w:suppressLineNumbers w:val="0"/>
        <w:shd w:val="clear" w:fill="FFFFFF"/>
        <w:ind w:left="0" w:firstLine="0"/>
        <w:jc w:val="center"/>
        <w:rPr>
          <w:rStyle w:val="5"/>
          <w:rFonts w:hint="eastAsia" w:ascii="方正小标宋简体" w:hAnsi="方正小标宋简体" w:eastAsia="方正小标宋简体" w:cs="方正小标宋简体"/>
          <w:i w:val="0"/>
          <w:iCs w:val="0"/>
          <w:caps w:val="0"/>
          <w:color w:val="FF0000"/>
          <w:spacing w:val="0"/>
          <w:sz w:val="36"/>
          <w:szCs w:val="36"/>
          <w:shd w:val="clear" w:fill="FFFFFF"/>
        </w:rPr>
      </w:pPr>
    </w:p>
    <w:p w14:paraId="389D7D80">
      <w:pPr>
        <w:pStyle w:val="2"/>
        <w:keepNext w:val="0"/>
        <w:keepLines w:val="0"/>
        <w:widowControl/>
        <w:suppressLineNumbers w:val="0"/>
        <w:shd w:val="clear" w:fill="FFFFFF"/>
        <w:ind w:left="0" w:firstLine="0"/>
        <w:jc w:val="center"/>
        <w:rPr>
          <w:rStyle w:val="5"/>
          <w:rFonts w:hint="eastAsia" w:ascii="方正小标宋简体" w:hAnsi="方正小标宋简体" w:eastAsia="方正小标宋简体" w:cs="方正小标宋简体"/>
          <w:i w:val="0"/>
          <w:iCs w:val="0"/>
          <w:caps w:val="0"/>
          <w:color w:val="FF0000"/>
          <w:spacing w:val="0"/>
          <w:sz w:val="36"/>
          <w:szCs w:val="36"/>
          <w:shd w:val="clear" w:fill="FFFFFF"/>
        </w:rPr>
      </w:pPr>
    </w:p>
    <w:p w14:paraId="27EE1D4A">
      <w:pPr>
        <w:pStyle w:val="2"/>
        <w:keepNext w:val="0"/>
        <w:keepLines w:val="0"/>
        <w:widowControl/>
        <w:suppressLineNumbers w:val="0"/>
        <w:shd w:val="clear" w:fill="FFFFFF"/>
        <w:ind w:left="0" w:firstLine="0"/>
        <w:jc w:val="center"/>
        <w:rPr>
          <w:rStyle w:val="5"/>
          <w:rFonts w:hint="eastAsia" w:ascii="方正小标宋简体" w:hAnsi="方正小标宋简体" w:eastAsia="方正小标宋简体" w:cs="方正小标宋简体"/>
          <w:i w:val="0"/>
          <w:iCs w:val="0"/>
          <w:caps w:val="0"/>
          <w:color w:val="FF0000"/>
          <w:spacing w:val="0"/>
          <w:sz w:val="36"/>
          <w:szCs w:val="36"/>
          <w:shd w:val="clear" w:fill="FFFFFF"/>
        </w:rPr>
      </w:pPr>
    </w:p>
    <w:p w14:paraId="50BBD2F1">
      <w:pPr>
        <w:pStyle w:val="2"/>
        <w:keepNext w:val="0"/>
        <w:keepLines w:val="0"/>
        <w:widowControl/>
        <w:suppressLineNumbers w:val="0"/>
        <w:shd w:val="clear" w:fill="FFFFFF"/>
        <w:ind w:left="0" w:firstLine="0"/>
        <w:jc w:val="both"/>
        <w:rPr>
          <w:rStyle w:val="5"/>
          <w:rFonts w:hint="eastAsia" w:ascii="方正小标宋简体" w:hAnsi="方正小标宋简体" w:eastAsia="方正小标宋简体" w:cs="方正小标宋简体"/>
          <w:i w:val="0"/>
          <w:iCs w:val="0"/>
          <w:caps w:val="0"/>
          <w:color w:val="FF0000"/>
          <w:spacing w:val="0"/>
          <w:sz w:val="36"/>
          <w:szCs w:val="36"/>
          <w:shd w:val="clear" w:fill="FFFFFF"/>
        </w:rPr>
      </w:pPr>
    </w:p>
    <w:p w14:paraId="7C0031DB">
      <w:pPr>
        <w:pStyle w:val="2"/>
        <w:keepNext w:val="0"/>
        <w:keepLines w:val="0"/>
        <w:widowControl/>
        <w:suppressLineNumbers w:val="0"/>
        <w:shd w:val="clear" w:fill="FFFFFF"/>
        <w:ind w:left="0" w:firstLine="0"/>
        <w:jc w:val="center"/>
        <w:rPr>
          <w:rFonts w:hint="eastAsia" w:ascii="方正小标宋简体" w:hAnsi="方正小标宋简体" w:eastAsia="方正小标宋简体" w:cs="方正小标宋简体"/>
          <w:i w:val="0"/>
          <w:iCs w:val="0"/>
          <w:caps w:val="0"/>
          <w:color w:val="3A3A3A"/>
          <w:spacing w:val="0"/>
          <w:sz w:val="36"/>
          <w:szCs w:val="36"/>
        </w:rPr>
      </w:pPr>
      <w:r>
        <w:rPr>
          <w:rStyle w:val="5"/>
          <w:rFonts w:hint="eastAsia" w:ascii="方正小标宋简体" w:hAnsi="方正小标宋简体" w:eastAsia="方正小标宋简体" w:cs="方正小标宋简体"/>
          <w:i w:val="0"/>
          <w:iCs w:val="0"/>
          <w:caps w:val="0"/>
          <w:color w:val="FF0000"/>
          <w:spacing w:val="0"/>
          <w:sz w:val="36"/>
          <w:szCs w:val="36"/>
          <w:shd w:val="clear" w:fill="FFFFFF"/>
        </w:rPr>
        <w:t>2025年度全国教育科学规划终身教育体系研究专项申报公告</w:t>
      </w:r>
    </w:p>
    <w:p w14:paraId="7876141E">
      <w:pPr>
        <w:pStyle w:val="2"/>
        <w:keepNext w:val="0"/>
        <w:keepLines w:val="0"/>
        <w:widowControl/>
        <w:suppressLineNumbers w:val="0"/>
        <w:shd w:val="clear" w:fill="FFFFFF"/>
        <w:spacing w:line="240" w:lineRule="auto"/>
        <w:ind w:left="0" w:firstLine="0"/>
        <w:jc w:val="left"/>
        <w:rPr>
          <w:rFonts w:hint="eastAsia" w:ascii="仿宋" w:hAnsi="仿宋" w:eastAsia="仿宋" w:cs="仿宋"/>
          <w:i w:val="0"/>
          <w:iCs w:val="0"/>
          <w:caps w:val="0"/>
          <w:color w:val="000000" w:themeColor="text1"/>
          <w:spacing w:val="0"/>
          <w:sz w:val="32"/>
          <w:szCs w:val="32"/>
          <w14:textFill>
            <w14:solidFill>
              <w14:schemeClr w14:val="tx1"/>
            </w14:solidFill>
          </w14:textFill>
        </w:rPr>
      </w:pPr>
      <w:r>
        <w:rPr>
          <w:rFonts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xml:space="preserve">    </w:t>
      </w:r>
      <w:r>
        <w:rPr>
          <w:rFonts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为做好全国教育科学规划终身教育体系研究专项（以下简称终身专项）申报工作，现就有关事项公告如下。</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Style w:val="5"/>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一、专项目的</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终身专项面向教育强国建设重大部署、重点任务和综合改革实践需要，围绕引领和服务学习型城市和学习型社区建设、完善国家开放大学体系、建好国家老年大学、加强学习型社会数字基础设施建设、建好国家数字大学等战略任务开展研究，突出研究与实践相结合，突出数据支撑，为构建泛在可及的终身教育体系提供决策支撑。</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Style w:val="5"/>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二、选题指南</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申报终身专项，重大和重点项目必须使用指南中的题目，按照题目的目标任务对研究进行设计。一般项目可对指南中的题目进行适当微调，但不得大幅改变题目中的关键词。</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专项每个选题原则上只确立1个立项项目。</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Style w:val="5"/>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三、资助额度</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专项项目类别和资助额度分别为：重大项目，每项资助额度为60万元；重点项目，每项资助额度为35万元；一般项目，每项资助额度为20万元。</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Style w:val="5"/>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四、申报条件</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（一）项目申请人须具备下列条件</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1.申请人须遵守中华人民共和国宪法和法律，坚持正确的政治方向、价值取向和研究导向，遵守全国教育科学规划有关管理规定。</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2.专项主要面向开放大学和高等学校，部委直属单位，省级以上研究机构、党校（行政学院）等机构的研究人员申报。</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w:t>
      </w:r>
      <w:r>
        <w:rPr>
          <w:rFonts w:hint="eastAsia"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 xml:space="preserve"> 3.申请重大项目须具有正高级专业技术职称，或厅局级（含）以上领导职务；申请重点项目和一般项目须具有副高级以上（含）专业技术职称，或厅局级（含）以上领导职务，或具有博士学位。</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团队成员须包含开放大学在职教学或科研人员。</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4.在研的国家社会科学基金、国家自然科学基金、全国教育科学规划、教育部人文社会科学研究项目及其他国家级科研项目（以上统称国家和教育部级基金项目）负责人不得申请专项。同年度申请上述国家和教育部级基金项目的负责人不得申请专项。同年度申请全国教育科学规划项目的成员不得申请专项。</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5.凡以博士学位论文或博士后出站报告为基础申报本次终身专项，须在《全国教育科学规划项目申请书》（以下简称《申请书》）中，注明所申请项目与学位论文（出站报告）的联系和区别，申请鉴定结项时须提交学位论文（出站报告）原件。不得以已出版的内容基本相同的研究成果申请终身专项。</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（二）项目申请人所在单位须具备下列条件</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1.在相关领域具有较强的师资队伍、科研力量和扎实的学术积累，或丰富的实践经验。</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2.设有专门负责科研管理工作的职能部门。</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3.能够为开展研究工作提供必要条件，并承诺信誉保证。</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Style w:val="5"/>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五、申报要求</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1.终身专项申报</w:t>
      </w:r>
      <w:r>
        <w:rPr>
          <w:rStyle w:val="5"/>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不限额</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。各二级管理机构和申请单位要着力提高申报质量，宁缺毋滥。</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    2.专项研究年限为2-3年，不得延期。一般项目，要求至少1篇决策咨询报告被《全国教育科学规划课题成果要报》刊发、或被专项合作单位及以上领导肯定性批示、或被专项合作单位及以上党政机关的内刊刊发，同时至少发表1篇中文核心期刊（或SCI、SSCI、CSSCI、A&amp;HCI）论文。重点项目和重大项目的成果要求须高于一般项目，成果形式、数量和级别与资助金额和研究年限相匹配。</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3.申请人应按照《全国教育科学规划管理办法》和《全国教育科学规划课题资金管理办法》（详见我办网站</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instrText xml:space="preserve"> HYPERLINK "https://onsgep.moe.edu.cn/" </w:instrTex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separate"/>
      </w:r>
      <w:r>
        <w:rPr>
          <w:rStyle w:val="6"/>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https://onsgep.moe.edu.cn/</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）的要求，</w:t>
      </w:r>
      <w:r>
        <w:rPr>
          <w:rFonts w:hint="eastAsia"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根据实际需要编制科学合理的经费预算。</w:t>
      </w:r>
      <w:r>
        <w:rPr>
          <w:rFonts w:hint="eastAsia"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4.申报人须严格按照《申请书》和《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5.项目负责人在项目执行期间要遵守相关承诺，履行约定义务，按期完成研究任务，申报时承诺的预期研究成果为项目结项时必须达到的要件，不得擅自变更。获准立项的《申请书》视为具有约束力的资助合同文本。最终成果实行通讯鉴定，鉴定等级予以公布。</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Style w:val="5"/>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六、工作安排</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w:t>
      </w:r>
      <w:r>
        <w:rPr>
          <w:rFonts w:hint="eastAsia"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 xml:space="preserve"> 本年度终身专项实行</w:t>
      </w:r>
      <w:r>
        <w:rPr>
          <w:rStyle w:val="5"/>
          <w:rFonts w:hint="eastAsia"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网络申报。</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“全国教育科学规划管理平台”（</w:t>
      </w:r>
      <w:r>
        <w:rPr>
          <w:rFonts w:hint="eastAsia" w:ascii="仿宋_GB2312" w:hAnsi="仿宋_GB2312" w:eastAsia="仿宋_GB2312" w:cs="仿宋_GB2312"/>
          <w:b/>
          <w:bCs/>
          <w:i w:val="0"/>
          <w:iCs w:val="0"/>
          <w:caps w:val="0"/>
          <w:color w:val="000000" w:themeColor="text1"/>
          <w:spacing w:val="0"/>
          <w:sz w:val="32"/>
          <w:szCs w:val="32"/>
          <w:u w:val="none"/>
          <w:shd w:val="clear" w:fill="FFFFFF"/>
          <w14:textFill>
            <w14:solidFill>
              <w14:schemeClr w14:val="tx1"/>
            </w14:solidFill>
          </w14:textFill>
        </w:rPr>
        <w:fldChar w:fldCharType="begin"/>
      </w:r>
      <w:r>
        <w:rPr>
          <w:rFonts w:hint="eastAsia" w:ascii="仿宋_GB2312" w:hAnsi="仿宋_GB2312" w:eastAsia="仿宋_GB2312" w:cs="仿宋_GB2312"/>
          <w:b/>
          <w:bCs/>
          <w:i w:val="0"/>
          <w:iCs w:val="0"/>
          <w:caps w:val="0"/>
          <w:color w:val="000000" w:themeColor="text1"/>
          <w:spacing w:val="0"/>
          <w:sz w:val="32"/>
          <w:szCs w:val="32"/>
          <w:u w:val="none"/>
          <w:shd w:val="clear" w:fill="FFFFFF"/>
          <w14:textFill>
            <w14:solidFill>
              <w14:schemeClr w14:val="tx1"/>
            </w14:solidFill>
          </w14:textFill>
        </w:rPr>
        <w:instrText xml:space="preserve"> HYPERLINK "https://202.205.185.227/" </w:instrText>
      </w:r>
      <w:r>
        <w:rPr>
          <w:rFonts w:hint="eastAsia" w:ascii="仿宋_GB2312" w:hAnsi="仿宋_GB2312" w:eastAsia="仿宋_GB2312" w:cs="仿宋_GB2312"/>
          <w:b/>
          <w:bCs/>
          <w:i w:val="0"/>
          <w:iCs w:val="0"/>
          <w:caps w:val="0"/>
          <w:color w:val="000000" w:themeColor="text1"/>
          <w:spacing w:val="0"/>
          <w:sz w:val="32"/>
          <w:szCs w:val="32"/>
          <w:u w:val="none"/>
          <w:shd w:val="clear" w:fill="FFFFFF"/>
          <w14:textFill>
            <w14:solidFill>
              <w14:schemeClr w14:val="tx1"/>
            </w14:solidFill>
          </w14:textFill>
        </w:rPr>
        <w:fldChar w:fldCharType="separate"/>
      </w:r>
      <w:r>
        <w:rPr>
          <w:rStyle w:val="6"/>
          <w:rFonts w:hint="eastAsia" w:ascii="仿宋_GB2312" w:hAnsi="仿宋_GB2312" w:eastAsia="仿宋_GB2312" w:cs="仿宋_GB2312"/>
          <w:b/>
          <w:bCs/>
          <w:i w:val="0"/>
          <w:iCs w:val="0"/>
          <w:caps w:val="0"/>
          <w:color w:val="000000" w:themeColor="text1"/>
          <w:spacing w:val="0"/>
          <w:sz w:val="32"/>
          <w:szCs w:val="32"/>
          <w:u w:val="none"/>
          <w:shd w:val="clear" w:fill="FFFFFF"/>
          <w14:textFill>
            <w14:solidFill>
              <w14:schemeClr w14:val="tx1"/>
            </w14:solidFill>
          </w14:textFill>
        </w:rPr>
        <w:t>https://202.205.185.227/</w:t>
      </w:r>
      <w:r>
        <w:rPr>
          <w:rFonts w:hint="eastAsia" w:ascii="仿宋_GB2312" w:hAnsi="仿宋_GB2312" w:eastAsia="仿宋_GB2312" w:cs="仿宋_GB2312"/>
          <w:b/>
          <w:bCs/>
          <w:i w:val="0"/>
          <w:iCs w:val="0"/>
          <w:caps w:val="0"/>
          <w:color w:val="000000" w:themeColor="text1"/>
          <w:spacing w:val="0"/>
          <w:sz w:val="32"/>
          <w:szCs w:val="32"/>
          <w:u w:val="none"/>
          <w:shd w:val="clear" w:fill="FFFFFF"/>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以下简称平台）中的“项目申报系统”为本次申报的唯一网络平台。网络申报办法及流程管理以该系统为准。项目申报材料可从我办平台或网站下载。全国教育科学规划领导小组办公室（以下简称全规办）不直接受理个人申报。</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Style w:val="5"/>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1. 申报时间安排</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w:t>
      </w:r>
      <w:r>
        <w:rPr>
          <w:rFonts w:hint="eastAsia"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  申报系统于2025年4月28日零时至5月30日17时开放</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。在此期间申请人可登录平台，填写并导出《申请书》，签字并加盖单位公章后，全文扫描在一个文档中，跟PDF版本的《活页》一起提交到平台上。</w:t>
      </w:r>
      <w:r>
        <w:rPr>
          <w:rFonts w:hint="eastAsia"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要确保线上线下《申请书》和《活页》内容完全一致。逾期系统自动关闭</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，不再受理申报（由省级教育规划办管理的单位需在此段时间内同步完成审核提交）。</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Style w:val="5"/>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2. 审核时间安排</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二级管理单位网上审核提交截止时间为2025年6月9日17时。须把加盖公章的《申报数据汇总表》扫描件及审查合格的《申请书》《活页》在平台上提交至全规办。省级教育规划办无需在《申请书》上加盖公章。审核期间可以退回修改提交但不能新增申报。请严格按照以上时间要求审核、报送材料，逾期不予受理。</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Style w:val="5"/>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3. 报送纸质材料时间安排</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《申请书》《活页》和《申报数据汇总表》均</w:t>
      </w:r>
      <w:r>
        <w:rPr>
          <w:rStyle w:val="5"/>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无需寄送纸质版</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在平台上提交给全规办的所有材料均视为经过各级单位审核同意的文本。待立项公布后，二级管理单位在平台上下载所属立项项目的《申请书》（不需要《活页》），每个项目打印1份，加盖公章后统一寄送至全规办。</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若有问题需咨询，请先查看《2025年度全国教育科学规划各类项目申报常见问题答疑》和《</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instrText xml:space="preserve"> HYPERLINK "https://202.205.185.227/indexAction!do_downLoad.action?fId=ff8080818f527e3a018f5b2a02b21127" </w:instrTex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separate"/>
      </w:r>
      <w:r>
        <w:rPr>
          <w:rStyle w:val="6"/>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全国教育科学规划管理平台操作手册—其他类别项目申报</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》。再有疑问，二级管理单位咨询全规办，地方高校请先咨询省级教育规划办（省级教育规划办电话请上管理平台的“通知公告”栏目查询）。</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全规办咨询电话：010—62003471、62003308；</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平台系统及技术问题请咨询400-800-1636，电子信箱：</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instrText xml:space="preserve"> HYPERLINK "mailto:support@e-plugger.com%E3%80%82" </w:instrTex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separate"/>
      </w:r>
      <w:r>
        <w:rPr>
          <w:rStyle w:val="6"/>
          <w:rFonts w:hint="eastAsia" w:ascii="仿宋_GB2312" w:hAnsi="仿宋_GB2312" w:eastAsia="仿宋_GB2312" w:cs="仿宋_GB2312"/>
          <w:i w:val="0"/>
          <w:iCs w:val="0"/>
          <w:caps w:val="0"/>
          <w:color w:val="000000" w:themeColor="text1"/>
          <w:spacing w:val="0"/>
          <w:sz w:val="32"/>
          <w:szCs w:val="32"/>
          <w:u w:val="single"/>
          <w:shd w:val="clear" w:fill="FFFFFF"/>
          <w14:textFill>
            <w14:solidFill>
              <w14:schemeClr w14:val="tx1"/>
            </w14:solidFill>
          </w14:textFill>
        </w:rPr>
        <w:t>support@e-plugger.com。</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邮寄地址：北京市海淀区北三环中路46号全国教育科学规划领导小组办公室。邮政编码：100088。</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br w:type="textWrapping"/>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    </w:t>
      </w:r>
    </w:p>
    <w:p w14:paraId="2A18DED2">
      <w:pPr>
        <w:keepNext w:val="0"/>
        <w:keepLines w:val="0"/>
        <w:widowControl/>
        <w:suppressLineNumbers w:val="0"/>
        <w:shd w:val="clear" w:fill="FFFFFF"/>
        <w:spacing w:line="240" w:lineRule="auto"/>
        <w:ind w:left="0" w:firstLine="0"/>
        <w:jc w:val="right"/>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t>      全国教育科学规划领导小组办公室</w:t>
      </w: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br w:type="textWrapping"/>
      </w:r>
      <w:r>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t>                        2025年4月26日</w:t>
      </w:r>
    </w:p>
    <w:p w14:paraId="757A2E06">
      <w:pPr>
        <w:keepNext w:val="0"/>
        <w:keepLines w:val="0"/>
        <w:widowControl/>
        <w:suppressLineNumbers w:val="0"/>
        <w:shd w:val="clear" w:fill="FFFFFF"/>
        <w:spacing w:line="240" w:lineRule="auto"/>
        <w:ind w:left="0" w:firstLine="0"/>
        <w:jc w:val="right"/>
        <w:rPr>
          <w:rFonts w:hint="eastAsia" w:ascii="仿宋_GB2312" w:hAnsi="仿宋_GB2312" w:eastAsia="仿宋_GB2312" w:cs="仿宋_GB2312"/>
          <w:i w:val="0"/>
          <w:iCs w:val="0"/>
          <w:caps w:val="0"/>
          <w:snapToGrid w:val="0"/>
          <w:color w:val="000000" w:themeColor="text1"/>
          <w:spacing w:val="0"/>
          <w:kern w:val="0"/>
          <w:sz w:val="32"/>
          <w:szCs w:val="32"/>
          <w:shd w:val="clear" w:fill="FFFFFF"/>
          <w:lang w:val="en-US" w:eastAsia="zh-CN" w:bidi="ar"/>
          <w14:textFill>
            <w14:solidFill>
              <w14:schemeClr w14:val="tx1"/>
            </w14:solidFill>
          </w14:textFill>
        </w:rPr>
      </w:pPr>
    </w:p>
    <w:p w14:paraId="26119F71">
      <w:pPr>
        <w:spacing w:line="240" w:lineRule="auto"/>
        <w:rPr>
          <w:sz w:val="32"/>
          <w:szCs w:val="3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0D7BD6AA-07BF-47C8-AF6D-32D5EA6008A4}"/>
  </w:font>
  <w:font w:name="方正小标宋简体">
    <w:panose1 w:val="02010600010101010101"/>
    <w:charset w:val="86"/>
    <w:family w:val="auto"/>
    <w:pitch w:val="default"/>
    <w:sig w:usb0="00000001" w:usb1="080E0000" w:usb2="00000000" w:usb3="00000000" w:csb0="00040000" w:csb1="00000000"/>
    <w:embedRegular r:id="rId2" w:fontKey="{A03C49CB-BD0D-48F4-924A-26F541BF2BB2}"/>
  </w:font>
  <w:font w:name="仿宋_GB2312">
    <w:panose1 w:val="02010609030101010101"/>
    <w:charset w:val="86"/>
    <w:family w:val="auto"/>
    <w:pitch w:val="default"/>
    <w:sig w:usb0="00000001" w:usb1="080E0000" w:usb2="00000000" w:usb3="00000000" w:csb0="00040000" w:csb1="00000000"/>
    <w:embedRegular r:id="rId3" w:fontKey="{CCFF0A9E-9287-4FC0-9FDC-E9E669DA508F}"/>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E2B69"/>
    <w:rsid w:val="68CF62CF"/>
    <w:rsid w:val="6B77606B"/>
    <w:rsid w:val="6EE37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仿宋" w:cs="仿宋"/>
      <w:snapToGrid w:val="0"/>
      <w:color w:val="000000"/>
      <w:kern w:val="0"/>
      <w:sz w:val="32"/>
      <w:szCs w:val="32"/>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2326</Words>
  <Characters>2483</Characters>
  <Lines>0</Lines>
  <Paragraphs>0</Paragraphs>
  <TotalTime>5</TotalTime>
  <ScaleCrop>false</ScaleCrop>
  <LinksUpToDate>false</LinksUpToDate>
  <CharactersWithSpaces>2665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2025-03-26T05:54:00Z</dcterms:created>
  <dc:creator>l</dc:creator>
  <cp:lastModifiedBy>温迪</cp:lastModifiedBy>
  <dcterms:modified xsi:type="dcterms:W3CDTF">2025-04-27T07:52:57Z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5776C76028004ECEA6CF2C59717C3882_12</vt:lpwstr>
  </property>
  <property fmtid="{D5CDD505-2E9C-101B-9397-08002B2CF9AE}" pid="4" name="KSOTemplateDocerSaveRecord">
    <vt:lpwstr>eyJoZGlkIjoiYmVlMmM1YmUwMTE3YWM4MTVmMDlkNzg5NGFlMGY1YTUiLCJ1c2VySWQiOiIzMTQ3MzYwMDUifQ==</vt:lpwstr>
  </property>
</Properties>
</file>