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B1F4D">
      <w:pPr>
        <w:jc w:val="left"/>
        <w:rPr>
          <w:rFonts w:hint="eastAsia" w:ascii="仿宋_GB2312" w:hAnsi="宋体" w:eastAsia="仿宋_GB2312"/>
          <w:b/>
          <w:color w:val="FF0000"/>
          <w:kern w:val="0"/>
          <w:sz w:val="110"/>
          <w:szCs w:val="110"/>
        </w:rPr>
      </w:pPr>
    </w:p>
    <w:p w14:paraId="033B5B21">
      <w:pPr>
        <w:jc w:val="left"/>
        <w:rPr>
          <w:rFonts w:hint="eastAsia" w:ascii="仿宋_GB2312" w:hAnsi="宋体" w:eastAsia="仿宋_GB2312"/>
          <w:b/>
          <w:color w:val="FF0000"/>
          <w:w w:val="47"/>
          <w:kern w:val="0"/>
          <w:sz w:val="110"/>
          <w:szCs w:val="110"/>
        </w:rPr>
      </w:pPr>
    </w:p>
    <w:p w14:paraId="68C2DDE2">
      <w:pPr>
        <w:ind w:firstLine="320" w:firstLineChars="100"/>
        <w:jc w:val="both"/>
        <w:rPr>
          <w:rFonts w:hint="default" w:asci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</w:rPr>
        <w:t>长开大发</w:t>
      </w:r>
      <w:r>
        <w:rPr>
          <w:rFonts w:hint="eastAsia" w:ascii="仿宋_GB2312" w:eastAsia="仿宋_GB2312"/>
          <w:sz w:val="32"/>
        </w:rPr>
        <w:t>〔202</w:t>
      </w: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49</w:t>
      </w:r>
      <w:r>
        <w:rPr>
          <w:rFonts w:hint="eastAsia" w:ascii="仿宋_GB2312" w:eastAsia="仿宋_GB2312"/>
          <w:sz w:val="32"/>
        </w:rPr>
        <w:t xml:space="preserve">号       </w:t>
      </w:r>
      <w:r>
        <w:rPr>
          <w:rFonts w:hint="eastAsia" w:asci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</w:rPr>
        <w:t xml:space="preserve">   签发人：</w:t>
      </w:r>
      <w:r>
        <w:rPr>
          <w:rFonts w:hint="eastAsia" w:ascii="楷体" w:hAnsi="楷体" w:eastAsia="楷体" w:cs="楷体"/>
          <w:sz w:val="32"/>
          <w:lang w:val="en-US" w:eastAsia="zh-CN"/>
        </w:rPr>
        <w:t>张辉</w:t>
      </w:r>
    </w:p>
    <w:p w14:paraId="72C73732">
      <w:pPr>
        <w:jc w:val="center"/>
        <w:rPr>
          <w:rFonts w:hint="eastAsia" w:ascii="仿宋_GB2312" w:hAnsi="Times New Roman" w:eastAsia="仿宋_GB2312"/>
          <w:sz w:val="10"/>
          <w:szCs w:val="10"/>
        </w:rPr>
      </w:pPr>
    </w:p>
    <w:p w14:paraId="52114E2B">
      <w:pPr>
        <w:jc w:val="center"/>
        <w:rPr>
          <w:rFonts w:hint="eastAsia" w:ascii="仿宋_GB2312" w:hAnsi="Times New Roman" w:eastAsia="仿宋_GB2312"/>
          <w:sz w:val="10"/>
          <w:szCs w:val="10"/>
        </w:rPr>
      </w:pPr>
    </w:p>
    <w:p w14:paraId="5A748BDC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关于申报长春开放大学202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教育教学改革</w:t>
      </w:r>
      <w:r>
        <w:rPr>
          <w:rFonts w:hint="eastAsia" w:ascii="方正小标宋简体" w:hAnsi="方正小标宋简体" w:eastAsia="方正小标宋简体"/>
          <w:sz w:val="44"/>
          <w:szCs w:val="44"/>
        </w:rPr>
        <w:t>课题的通知</w:t>
      </w:r>
    </w:p>
    <w:p w14:paraId="6051DD87">
      <w:pPr>
        <w:spacing w:line="360" w:lineRule="auto"/>
        <w:jc w:val="left"/>
        <w:rPr>
          <w:rFonts w:ascii="仿宋" w:hAnsi="仿宋" w:eastAsia="仿宋" w:cs="仿宋"/>
          <w:spacing w:val="15"/>
          <w:sz w:val="32"/>
          <w:szCs w:val="32"/>
        </w:rPr>
      </w:pPr>
    </w:p>
    <w:p w14:paraId="49E604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各分校、学习中心、校内各部门：</w:t>
      </w:r>
    </w:p>
    <w:p w14:paraId="40FB26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为深入学习党的二十届三中全会和全国教育大会精神，落实教育强国建设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规划纲要部署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推进落实《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长春开放大学数智赋能一体化协同推进教育教学综合改革实施方案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，充分发挥教育教学改革研究在开放大学、老年大学建设中的创新引领作用，学校决定启动长春开放大学2025年度教育教学改革课题申报工作。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现就有关事项通知如下。</w:t>
      </w:r>
    </w:p>
    <w:p w14:paraId="3E2EE4B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一、指导思想</w:t>
      </w:r>
    </w:p>
    <w:p w14:paraId="4799B7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课题选题要坚持立德树人基本原则，坚守为党育人、为国育才使命，问题导向、改革创新、协同推进、注重实效。结合国家教育战略和长春开放大学办学特色，凝练小切口、解决大问题，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以数智赋能教育教学全要素改革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积极探索人才培养的新机制、新路径、新模式。聚焦破解教育教学中的重难点问题，突出实践、创新与特色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，培育一批可实践、可复制、可推广的优秀教育教学成果，不断增强人才自主培养质量，提升教育教学改革与创新的整体水平。</w:t>
      </w:r>
    </w:p>
    <w:p w14:paraId="21C9368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二、课题类别及说明</w:t>
      </w:r>
    </w:p>
    <w:p w14:paraId="0DF30E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本次教改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课题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共设立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个立项领域，具体见《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长春开放大学2025年度教育教学改革课题指南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（附件1）。各申报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课题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须围绕立项领域，结合学校当前重点工作，坚持问题导向、目标导向和效果导向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名称可根据内容自主拟定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也可结合本人研究方向自拟题目申报。自拟课题名称表述应科学、严谨、规范、简明，避免引起歧义或争议。</w:t>
      </w:r>
    </w:p>
    <w:p w14:paraId="14F779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课题设为重点课题、一般课题两种类型。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重点课题从申报年度课题中择优确定。</w:t>
      </w:r>
    </w:p>
    <w:p w14:paraId="443AF4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（一）重点课题。研究学校教育教学发展亟需破解的重大问题。课题成果具有较强的理论性、前瞻性和针对性，为开放教育发展提供决策依据。重点课题给与3000元经费支持。</w:t>
      </w:r>
    </w:p>
    <w:p w14:paraId="1E7933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（二）一般课题。研究学校教育教学一线工作中的具体问题。课题成果具有实操性，可复制、可推广。</w:t>
      </w:r>
    </w:p>
    <w:p w14:paraId="6FDAEA2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课题研究期限原则上为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5F2BA23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三、申报程序与条件</w:t>
      </w:r>
    </w:p>
    <w:p w14:paraId="747F3C4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（一）申报程序</w:t>
      </w:r>
    </w:p>
    <w:p w14:paraId="0AE744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包括课题组申报、学校组织专家遴选、公示立项。自愿申报、公平竞争、择优立项。</w:t>
      </w:r>
    </w:p>
    <w:p w14:paraId="71785E9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（二）资格要求</w:t>
      </w:r>
    </w:p>
    <w:p w14:paraId="1DC554C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重点课题负责人应具有副教授以上任职资格；一般课题负责人应具有讲师以上职称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或全日制研究生毕业并在开放大学办学体系工作二年以上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58A72CB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（三）申报条件</w:t>
      </w:r>
    </w:p>
    <w:p w14:paraId="2781882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1.长春开放大学202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课题面向长春开放大学办学体系开展申报，课题负责人必须为办学体系内教职工。</w:t>
      </w:r>
    </w:p>
    <w:p w14:paraId="77C8CCE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2.作为课题负责人，同一年度只能申报1项校级课题；正在承担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长春开放大学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项目的课题负责人不能申报，且不能作为成员参与其他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校级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课题申报；作为课题组成员，最多只能参与2项校级课题。每项课题限设1位负责人。</w:t>
      </w:r>
    </w:p>
    <w:p w14:paraId="7EE8E9B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3.申请其他科研项目的主持人不能以内容相同相近的选题申报本课题。</w:t>
      </w:r>
    </w:p>
    <w:p w14:paraId="1EBC408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四、材料报送及时间</w:t>
      </w:r>
    </w:p>
    <w:p w14:paraId="210B61B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请将《长春开放大学2025年度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教育教学改革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课题立项申请书》（附件2）纸质版2份报送教务科研处，并网传相应材料电子版及《长春开放大学202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教育教学改革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课题立项申报汇总表》（附件3）至邮箱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"mailto:181956565@qq.com"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181956565@qq.com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（注明：姓名+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课题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题目）。报送截止时间为202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日。</w:t>
      </w:r>
    </w:p>
    <w:p w14:paraId="4762E38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 系 人：温薇迪</w:t>
      </w:r>
    </w:p>
    <w:p w14:paraId="74A0542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联系电话：0431-82857770</w:t>
      </w:r>
    </w:p>
    <w:p w14:paraId="0B393DF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3937BC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附件1：长春开放大学202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教育教学改革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课题指南</w:t>
      </w:r>
    </w:p>
    <w:p w14:paraId="67A1905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附件2：长春开放大学202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教育教学改革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课题立项申请书</w:t>
      </w:r>
    </w:p>
    <w:p w14:paraId="4441ACA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附件3：长春开放大学202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教育教学改革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课题立项申报汇总表</w:t>
      </w:r>
    </w:p>
    <w:p w14:paraId="78C9311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62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FAE15E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62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233C39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62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DE14F8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62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长春开放大学</w:t>
      </w:r>
    </w:p>
    <w:p w14:paraId="52771FD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62" w:firstLine="4640" w:firstLineChars="145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2C62D905">
      <w:pPr>
        <w:pStyle w:val="5"/>
        <w:widowControl/>
        <w:spacing w:beforeAutospacing="0" w:afterAutospacing="0" w:line="555" w:lineRule="atLeast"/>
        <w:ind w:right="62" w:firstLine="4640" w:firstLineChars="145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DA04F9A">
      <w:pPr>
        <w:pStyle w:val="5"/>
        <w:widowControl/>
        <w:spacing w:beforeAutospacing="0" w:afterAutospacing="0" w:line="555" w:lineRule="atLeast"/>
        <w:ind w:right="62" w:firstLine="4640" w:firstLineChars="145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07766E6">
      <w:pPr>
        <w:pStyle w:val="5"/>
        <w:widowControl/>
        <w:spacing w:beforeAutospacing="0" w:afterAutospacing="0" w:line="555" w:lineRule="atLeast"/>
        <w:ind w:right="62" w:firstLine="4640" w:firstLineChars="145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DC22887">
      <w:pPr>
        <w:pStyle w:val="5"/>
        <w:widowControl/>
        <w:spacing w:beforeAutospacing="0" w:afterAutospacing="0" w:line="555" w:lineRule="atLeast"/>
        <w:ind w:right="62" w:firstLine="4640" w:firstLineChars="145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C2CA931">
      <w:pPr>
        <w:pStyle w:val="5"/>
        <w:widowControl/>
        <w:spacing w:beforeAutospacing="0" w:afterAutospacing="0" w:line="555" w:lineRule="atLeast"/>
        <w:ind w:right="62" w:firstLine="4640" w:firstLineChars="145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B98D25F">
      <w:pPr>
        <w:pStyle w:val="5"/>
        <w:widowControl/>
        <w:spacing w:beforeAutospacing="0" w:afterAutospacing="0" w:line="555" w:lineRule="atLeast"/>
        <w:ind w:right="62" w:firstLine="4640" w:firstLineChars="145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1BC6631">
      <w:pPr>
        <w:pStyle w:val="5"/>
        <w:widowControl/>
        <w:spacing w:beforeAutospacing="0" w:afterAutospacing="0" w:line="555" w:lineRule="atLeast"/>
        <w:ind w:right="62" w:firstLine="4640" w:firstLineChars="145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 w14:paraId="50614A0E">
      <w:pPr>
        <w:pStyle w:val="5"/>
        <w:widowControl/>
        <w:spacing w:beforeAutospacing="0" w:afterAutospacing="0" w:line="555" w:lineRule="atLeast"/>
        <w:ind w:right="62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B7AC869">
      <w:pPr>
        <w:pStyle w:val="5"/>
        <w:widowControl/>
        <w:spacing w:beforeAutospacing="0" w:afterAutospacing="0" w:line="555" w:lineRule="atLeast"/>
        <w:ind w:right="62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8E0067A">
      <w:pPr>
        <w:pStyle w:val="5"/>
        <w:widowControl/>
        <w:spacing w:beforeAutospacing="0" w:afterAutospacing="0" w:line="555" w:lineRule="atLeast"/>
        <w:ind w:right="62" w:firstLine="4640" w:firstLineChars="145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6"/>
        <w:tblpPr w:leftFromText="180" w:rightFromText="180" w:vertAnchor="text" w:horzAnchor="margin" w:tblpY="316"/>
        <w:tblOverlap w:val="never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35F5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7ECB7D">
            <w:pPr>
              <w:spacing w:line="360" w:lineRule="auto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长春开放大学校长办公室            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10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24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日印发</w:t>
            </w:r>
          </w:p>
        </w:tc>
      </w:tr>
    </w:tbl>
    <w:p w14:paraId="6973D872"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 w14:paraId="281DD645"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E9FD04B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9F9A6C-BDB7-4BBD-A685-AB156B5DD70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47CCD14-19AE-4337-930E-3B00811A2C6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51C8775-5D55-44A3-8127-1C41FBF6F63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A83BBAE-1405-4411-9650-849670E0CF16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2IzYTk5ZmIwNmI4MzI0MDc3NzdhOGRmNzk0OWQifQ=="/>
  </w:docVars>
  <w:rsids>
    <w:rsidRoot w:val="08447156"/>
    <w:rsid w:val="00591370"/>
    <w:rsid w:val="00724F08"/>
    <w:rsid w:val="00B20A2D"/>
    <w:rsid w:val="022D01F2"/>
    <w:rsid w:val="045A7FF3"/>
    <w:rsid w:val="047B161F"/>
    <w:rsid w:val="07B81C63"/>
    <w:rsid w:val="08447156"/>
    <w:rsid w:val="14433465"/>
    <w:rsid w:val="14D31216"/>
    <w:rsid w:val="1ADA7C6F"/>
    <w:rsid w:val="26964990"/>
    <w:rsid w:val="2A3F714F"/>
    <w:rsid w:val="2D3E3D4A"/>
    <w:rsid w:val="36F219CE"/>
    <w:rsid w:val="40DB7F6B"/>
    <w:rsid w:val="430323AB"/>
    <w:rsid w:val="45AE20D7"/>
    <w:rsid w:val="4838393B"/>
    <w:rsid w:val="539F1617"/>
    <w:rsid w:val="5A5E433C"/>
    <w:rsid w:val="5E2B5B06"/>
    <w:rsid w:val="63115765"/>
    <w:rsid w:val="6358315D"/>
    <w:rsid w:val="6BF83955"/>
    <w:rsid w:val="6DF27089"/>
    <w:rsid w:val="72965316"/>
    <w:rsid w:val="72B2670F"/>
    <w:rsid w:val="76820FF5"/>
    <w:rsid w:val="769E60B4"/>
    <w:rsid w:val="76F913F3"/>
    <w:rsid w:val="782A7BD9"/>
    <w:rsid w:val="79F20CEE"/>
    <w:rsid w:val="7E95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微软雅黑" w:hAnsi="微软雅黑" w:eastAsia="微软雅黑"/>
      <w:color w:val="333333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123xz.org</Company>
  <Pages>6</Pages>
  <Words>6290</Words>
  <Characters>6595</Characters>
  <Lines>8</Lines>
  <Paragraphs>2</Paragraphs>
  <TotalTime>8</TotalTime>
  <ScaleCrop>false</ScaleCrop>
  <LinksUpToDate>false</LinksUpToDate>
  <CharactersWithSpaces>7399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2023-09-04T06:44:00Z</dcterms:created>
  <dc:creator>Wen.WD</dc:creator>
  <cp:lastModifiedBy>温迪</cp:lastModifiedBy>
  <cp:lastPrinted>2024-11-11T03:08:00Z</cp:lastPrinted>
  <dcterms:modified xsi:type="dcterms:W3CDTF">2025-10-23T07:55:33Z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8119A7AB62D1459C8C180D87421106A6_13</vt:lpwstr>
  </property>
  <property fmtid="{D5CDD505-2E9C-101B-9397-08002B2CF9AE}" pid="4" name="KSOTemplateDocerSaveRecord">
    <vt:lpwstr>eyJoZGlkIjoiYmVlMmM1YmUwMTE3YWM4MTVmMDlkNzg5NGFlMGY1YTUiLCJ1c2VySWQiOiIzMTQ3MzYwMDUifQ==</vt:lpwstr>
  </property>
</Properties>
</file>